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4778" w14:textId="77777777" w:rsidR="00EA2DD4" w:rsidRPr="00AA1B21" w:rsidRDefault="00000000" w:rsidP="00AA1B21">
      <w:pPr>
        <w:rPr>
          <w:rFonts w:asciiTheme="minorHAnsi" w:hAnsiTheme="minorHAnsi" w:cstheme="minorHAnsi"/>
        </w:rPr>
      </w:pPr>
      <w:r w:rsidRPr="00AA1B21">
        <w:rPr>
          <w:rFonts w:asciiTheme="minorHAnsi" w:eastAsia="Calibri" w:hAnsiTheme="minorHAnsi" w:cstheme="minorHAnsi"/>
        </w:rPr>
        <w:t>REPUBLIKA HRVATSKA</w:t>
      </w:r>
    </w:p>
    <w:p w14:paraId="6432AF91" w14:textId="77777777" w:rsidR="00EA2DD4" w:rsidRPr="00AA1B21" w:rsidRDefault="00000000" w:rsidP="00AA1B21">
      <w:pPr>
        <w:rPr>
          <w:rFonts w:asciiTheme="minorHAnsi" w:hAnsiTheme="minorHAnsi" w:cstheme="minorHAnsi"/>
        </w:rPr>
      </w:pPr>
      <w:r w:rsidRPr="00AA1B21">
        <w:rPr>
          <w:rFonts w:asciiTheme="minorHAnsi" w:eastAsia="Calibri" w:hAnsiTheme="minorHAnsi" w:cstheme="minorHAnsi"/>
        </w:rPr>
        <w:t>DUBROVAČKO-NERETVANSKA ŽUPANIJA</w:t>
      </w:r>
    </w:p>
    <w:p w14:paraId="7548AF43" w14:textId="00789275" w:rsidR="00AA1B21" w:rsidRPr="00AA1B21" w:rsidRDefault="00000000" w:rsidP="00AA1B21">
      <w:pPr>
        <w:pStyle w:val="Bezproreda"/>
        <w:rPr>
          <w:rFonts w:asciiTheme="minorHAnsi" w:eastAsia="Calibri" w:hAnsiTheme="minorHAnsi" w:cstheme="minorHAnsi"/>
        </w:rPr>
      </w:pPr>
      <w:r w:rsidRPr="00AA1B21">
        <w:rPr>
          <w:rFonts w:asciiTheme="minorHAnsi" w:eastAsia="Calibri" w:hAnsiTheme="minorHAnsi" w:cstheme="minorHAnsi"/>
        </w:rPr>
        <w:t>OPĆINA STON</w:t>
      </w:r>
    </w:p>
    <w:p w14:paraId="449E3059" w14:textId="08AA8F9D" w:rsidR="00AA1B21" w:rsidRPr="00AA1B21" w:rsidRDefault="00AA1B21" w:rsidP="00AA1B21">
      <w:pPr>
        <w:pStyle w:val="Bezproreda"/>
        <w:rPr>
          <w:rFonts w:asciiTheme="minorHAnsi" w:eastAsia="Calibri" w:hAnsiTheme="minorHAnsi" w:cstheme="minorHAnsi"/>
        </w:rPr>
      </w:pPr>
      <w:r w:rsidRPr="00AA1B21">
        <w:rPr>
          <w:rFonts w:asciiTheme="minorHAnsi" w:eastAsia="Calibri" w:hAnsiTheme="minorHAnsi" w:cstheme="minorHAnsi"/>
        </w:rPr>
        <w:t>KLASA:</w:t>
      </w:r>
      <w:r>
        <w:rPr>
          <w:rFonts w:asciiTheme="minorHAnsi" w:eastAsia="Calibri" w:hAnsiTheme="minorHAnsi" w:cstheme="minorHAnsi"/>
        </w:rPr>
        <w:t>340-01/26-01/04</w:t>
      </w:r>
    </w:p>
    <w:p w14:paraId="0F9C85A3" w14:textId="6AAB4D95" w:rsidR="00AA1B21" w:rsidRPr="00AA1B21" w:rsidRDefault="00AA1B21" w:rsidP="00AA1B21">
      <w:pPr>
        <w:pStyle w:val="Bezproreda"/>
        <w:rPr>
          <w:rFonts w:asciiTheme="minorHAnsi" w:eastAsia="Calibri" w:hAnsiTheme="minorHAnsi" w:cstheme="minorHAnsi"/>
        </w:rPr>
      </w:pPr>
      <w:r w:rsidRPr="00AA1B21">
        <w:rPr>
          <w:rFonts w:asciiTheme="minorHAnsi" w:eastAsia="Calibri" w:hAnsiTheme="minorHAnsi" w:cstheme="minorHAnsi"/>
        </w:rPr>
        <w:t>URBROJ:</w:t>
      </w:r>
      <w:r>
        <w:rPr>
          <w:rFonts w:asciiTheme="minorHAnsi" w:eastAsia="Calibri" w:hAnsiTheme="minorHAnsi" w:cstheme="minorHAnsi"/>
        </w:rPr>
        <w:t>2117/04-26-7</w:t>
      </w:r>
    </w:p>
    <w:p w14:paraId="43DBECA7" w14:textId="37E1910C" w:rsidR="00AA1B21" w:rsidRPr="00AA1B21" w:rsidRDefault="00AA1B21" w:rsidP="00AA1B21">
      <w:pPr>
        <w:pStyle w:val="Bezproreda"/>
        <w:rPr>
          <w:rFonts w:asciiTheme="minorHAnsi" w:eastAsia="Calibri" w:hAnsiTheme="minorHAnsi" w:cstheme="minorHAnsi"/>
        </w:rPr>
      </w:pPr>
      <w:r w:rsidRPr="00AA1B21">
        <w:rPr>
          <w:rFonts w:asciiTheme="minorHAnsi" w:eastAsia="Calibri" w:hAnsiTheme="minorHAnsi" w:cstheme="minorHAnsi"/>
        </w:rPr>
        <w:t>Ston, 23. lipnja 2026. godine</w:t>
      </w:r>
    </w:p>
    <w:p w14:paraId="3221897C" w14:textId="77777777" w:rsidR="00AA1B21" w:rsidRPr="00AA1B21" w:rsidRDefault="00AA1B21" w:rsidP="00AA1B21">
      <w:pPr>
        <w:pStyle w:val="Bezproreda"/>
        <w:rPr>
          <w:rFonts w:eastAsia="Calibri"/>
        </w:rPr>
      </w:pPr>
    </w:p>
    <w:p w14:paraId="4369E4D0" w14:textId="77777777" w:rsidR="00EA2DD4" w:rsidRDefault="00000000">
      <w:pPr>
        <w:pStyle w:val="Naslov"/>
        <w:spacing w:after="100"/>
        <w:jc w:val="center"/>
      </w:pPr>
      <w:r>
        <w:rPr>
          <w:rFonts w:ascii="Calibri" w:eastAsia="Calibri" w:hAnsi="Calibri" w:cs="Calibri"/>
          <w:b/>
          <w:bCs/>
          <w:sz w:val="26"/>
          <w:szCs w:val="26"/>
        </w:rPr>
        <w:t>IZVJEŠĆE O REZULTATIMA SAVJETOVANJA SA ZAINTERESIRANOM JAVNOŠĆU</w:t>
      </w:r>
    </w:p>
    <w:p w14:paraId="507BC89E" w14:textId="77777777" w:rsidR="00EA2DD4" w:rsidRDefault="00000000">
      <w:pPr>
        <w:spacing w:after="300"/>
        <w:jc w:val="center"/>
      </w:pPr>
      <w:r>
        <w:rPr>
          <w:rFonts w:ascii="Calibri" w:eastAsia="Calibri" w:hAnsi="Calibri" w:cs="Calibri"/>
          <w:i/>
          <w:iCs/>
          <w:sz w:val="22"/>
          <w:szCs w:val="22"/>
        </w:rPr>
        <w:t>Odluka o načinu ulaska vozila i prometu u mirovanju u staroj jezgri Stona</w:t>
      </w:r>
    </w:p>
    <w:p w14:paraId="37CC330F" w14:textId="77777777" w:rsidR="00EA2DD4" w:rsidRDefault="00000000">
      <w:pPr>
        <w:spacing w:after="60"/>
      </w:pPr>
      <w:r>
        <w:rPr>
          <w:rFonts w:ascii="Calibri" w:eastAsia="Calibri" w:hAnsi="Calibri" w:cs="Calibri"/>
        </w:rPr>
        <w:t>Naziv akta: Odluka o načinu ulaska vozila i prometu u mirovanju u staroj jezgri Stona</w:t>
      </w:r>
    </w:p>
    <w:p w14:paraId="2FCFA23D" w14:textId="77777777" w:rsidR="00EA2DD4" w:rsidRDefault="00000000">
      <w:pPr>
        <w:spacing w:after="300"/>
      </w:pPr>
      <w:r>
        <w:rPr>
          <w:rFonts w:ascii="Calibri" w:eastAsia="Calibri" w:hAnsi="Calibri" w:cs="Calibri"/>
        </w:rPr>
        <w:t>Razdoblje savjetovanja: 4.5.2026. - 3.6.2026.</w:t>
      </w:r>
    </w:p>
    <w:p w14:paraId="4B8FC531" w14:textId="77777777" w:rsidR="00EA2DD4" w:rsidRDefault="00000000" w:rsidP="00AA1B21">
      <w:pPr>
        <w:spacing w:after="300"/>
        <w:jc w:val="both"/>
      </w:pPr>
      <w:r>
        <w:rPr>
          <w:rFonts w:ascii="Calibri" w:eastAsia="Calibri" w:hAnsi="Calibri" w:cs="Calibri"/>
        </w:rPr>
        <w:t>U nastavku se daje pregled primjedbi i upita zaprimljenih tijekom javnog savjetovanja - putem propisanog obrasca te izravnom elektroničkom poštom - s očitovanjem Općine Ston o prihvaćanju odnosno neprihvaćanju pojedinih primjedbi te obrazloženjem izmjena unesenih u konačni prijedlog Odluke.</w:t>
      </w:r>
    </w:p>
    <w:p w14:paraId="658CCA21" w14:textId="77777777" w:rsidR="00EA2DD4" w:rsidRDefault="00000000">
      <w:pPr>
        <w:spacing w:after="80"/>
      </w:pPr>
      <w:r>
        <w:rPr>
          <w:rFonts w:ascii="Calibri" w:eastAsia="Calibri" w:hAnsi="Calibri" w:cs="Calibri"/>
          <w:b/>
          <w:bCs/>
          <w:sz w:val="22"/>
          <w:szCs w:val="22"/>
        </w:rPr>
        <w:t>1. Podnositelj: Mario Bellina</w:t>
      </w:r>
    </w:p>
    <w:p w14:paraId="65335251" w14:textId="77777777" w:rsidR="00EA2DD4" w:rsidRDefault="00000000">
      <w:pPr>
        <w:spacing w:after="200"/>
      </w:pPr>
      <w:r>
        <w:rPr>
          <w:rFonts w:ascii="Calibri" w:eastAsia="Calibri" w:hAnsi="Calibri" w:cs="Calibri"/>
          <w:i/>
          <w:iCs/>
        </w:rPr>
        <w:t>Datum zaprimanja obrasca: 02.06.2026.</w:t>
      </w:r>
    </w:p>
    <w:tbl>
      <w:tblPr>
        <w:tblW w:w="11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500"/>
        <w:gridCol w:w="3000"/>
        <w:gridCol w:w="1700"/>
        <w:gridCol w:w="5900"/>
      </w:tblGrid>
      <w:tr w:rsidR="00EA2DD4" w14:paraId="580659B5" w14:textId="77777777">
        <w:tblPrEx>
          <w:tblCellMar>
            <w:top w:w="0" w:type="dxa"/>
            <w:bottom w:w="0" w:type="dxa"/>
          </w:tblCellMar>
        </w:tblPrEx>
        <w:trPr>
          <w:tblHeader/>
        </w:trPr>
        <w:tc>
          <w:tcPr>
            <w:tcW w:w="500" w:type="dxa"/>
            <w:shd w:val="clear" w:color="auto" w:fill="1F3864"/>
            <w:tcMar>
              <w:top w:w="100" w:type="dxa"/>
              <w:left w:w="120" w:type="dxa"/>
              <w:bottom w:w="100" w:type="dxa"/>
              <w:right w:w="120" w:type="dxa"/>
            </w:tcMar>
            <w:vAlign w:val="center"/>
          </w:tcPr>
          <w:p w14:paraId="7CE9D0B4" w14:textId="77777777" w:rsidR="00EA2DD4" w:rsidRDefault="00000000">
            <w:r>
              <w:rPr>
                <w:rFonts w:ascii="Calibri" w:eastAsia="Calibri" w:hAnsi="Calibri" w:cs="Calibri"/>
                <w:b/>
                <w:bCs/>
                <w:color w:val="FFFFFF"/>
              </w:rPr>
              <w:t>Br.</w:t>
            </w:r>
          </w:p>
        </w:tc>
        <w:tc>
          <w:tcPr>
            <w:tcW w:w="3000" w:type="dxa"/>
            <w:shd w:val="clear" w:color="auto" w:fill="1F3864"/>
            <w:tcMar>
              <w:top w:w="100" w:type="dxa"/>
              <w:left w:w="120" w:type="dxa"/>
              <w:bottom w:w="100" w:type="dxa"/>
              <w:right w:w="120" w:type="dxa"/>
            </w:tcMar>
            <w:vAlign w:val="center"/>
          </w:tcPr>
          <w:p w14:paraId="30F87D15" w14:textId="77777777" w:rsidR="00EA2DD4" w:rsidRDefault="00000000">
            <w:r>
              <w:rPr>
                <w:rFonts w:ascii="Calibri" w:eastAsia="Calibri" w:hAnsi="Calibri" w:cs="Calibri"/>
                <w:b/>
                <w:bCs/>
                <w:color w:val="FFFFFF"/>
              </w:rPr>
              <w:t>Sažetak primjedbe</w:t>
            </w:r>
          </w:p>
        </w:tc>
        <w:tc>
          <w:tcPr>
            <w:tcW w:w="1700" w:type="dxa"/>
            <w:shd w:val="clear" w:color="auto" w:fill="1F3864"/>
            <w:tcMar>
              <w:top w:w="100" w:type="dxa"/>
              <w:left w:w="120" w:type="dxa"/>
              <w:bottom w:w="100" w:type="dxa"/>
              <w:right w:w="120" w:type="dxa"/>
            </w:tcMar>
            <w:vAlign w:val="center"/>
          </w:tcPr>
          <w:p w14:paraId="47E3537D" w14:textId="77777777" w:rsidR="00EA2DD4" w:rsidRDefault="00000000">
            <w:r>
              <w:rPr>
                <w:rFonts w:ascii="Calibri" w:eastAsia="Calibri" w:hAnsi="Calibri" w:cs="Calibri"/>
                <w:b/>
                <w:bCs/>
                <w:color w:val="FFFFFF"/>
              </w:rPr>
              <w:t>Status</w:t>
            </w:r>
          </w:p>
        </w:tc>
        <w:tc>
          <w:tcPr>
            <w:tcW w:w="5900" w:type="dxa"/>
            <w:shd w:val="clear" w:color="auto" w:fill="1F3864"/>
            <w:tcMar>
              <w:top w:w="100" w:type="dxa"/>
              <w:left w:w="120" w:type="dxa"/>
              <w:bottom w:w="100" w:type="dxa"/>
              <w:right w:w="120" w:type="dxa"/>
            </w:tcMar>
            <w:vAlign w:val="center"/>
          </w:tcPr>
          <w:p w14:paraId="7706B979" w14:textId="77777777" w:rsidR="00EA2DD4" w:rsidRDefault="00000000">
            <w:r>
              <w:rPr>
                <w:rFonts w:ascii="Calibri" w:eastAsia="Calibri" w:hAnsi="Calibri" w:cs="Calibri"/>
                <w:b/>
                <w:bCs/>
                <w:color w:val="FFFFFF"/>
              </w:rPr>
              <w:t>Obrazloženje</w:t>
            </w:r>
          </w:p>
        </w:tc>
      </w:tr>
      <w:tr w:rsidR="00EA2DD4" w14:paraId="2004B250" w14:textId="77777777">
        <w:tblPrEx>
          <w:tblCellMar>
            <w:top w:w="0" w:type="dxa"/>
            <w:bottom w:w="0" w:type="dxa"/>
          </w:tblCellMar>
        </w:tblPrEx>
        <w:tc>
          <w:tcPr>
            <w:tcW w:w="500" w:type="dxa"/>
            <w:tcMar>
              <w:top w:w="100" w:type="dxa"/>
              <w:left w:w="120" w:type="dxa"/>
              <w:bottom w:w="100" w:type="dxa"/>
              <w:right w:w="120" w:type="dxa"/>
            </w:tcMar>
          </w:tcPr>
          <w:p w14:paraId="06AC4D3F" w14:textId="77777777" w:rsidR="00EA2DD4" w:rsidRDefault="00000000">
            <w:pPr>
              <w:spacing w:after="80"/>
            </w:pPr>
            <w:r>
              <w:rPr>
                <w:rFonts w:ascii="Calibri" w:eastAsia="Calibri" w:hAnsi="Calibri" w:cs="Calibri"/>
              </w:rPr>
              <w:t>1.</w:t>
            </w:r>
          </w:p>
        </w:tc>
        <w:tc>
          <w:tcPr>
            <w:tcW w:w="3000" w:type="dxa"/>
            <w:tcMar>
              <w:top w:w="100" w:type="dxa"/>
              <w:left w:w="120" w:type="dxa"/>
              <w:bottom w:w="100" w:type="dxa"/>
              <w:right w:w="120" w:type="dxa"/>
            </w:tcMar>
          </w:tcPr>
          <w:p w14:paraId="1B1C3139" w14:textId="77777777" w:rsidR="00EA2DD4" w:rsidRDefault="00000000">
            <w:pPr>
              <w:spacing w:after="80"/>
            </w:pPr>
            <w:r>
              <w:rPr>
                <w:rFonts w:ascii="Calibri" w:eastAsia="Calibri" w:hAnsi="Calibri" w:cs="Calibri"/>
              </w:rPr>
              <w:t>Kontradiktornost čl. 6. i čl. 8. - stanovnik bez vlasništva ne može ishoditi odobrenje ulaska</w:t>
            </w:r>
          </w:p>
        </w:tc>
        <w:tc>
          <w:tcPr>
            <w:tcW w:w="1700" w:type="dxa"/>
            <w:shd w:val="clear" w:color="auto" w:fill="FFF2CC"/>
            <w:tcMar>
              <w:top w:w="100" w:type="dxa"/>
              <w:left w:w="120" w:type="dxa"/>
              <w:bottom w:w="100" w:type="dxa"/>
              <w:right w:w="120" w:type="dxa"/>
            </w:tcMar>
          </w:tcPr>
          <w:p w14:paraId="23990830" w14:textId="77777777" w:rsidR="00EA2DD4" w:rsidRDefault="00000000">
            <w:pPr>
              <w:spacing w:after="80"/>
            </w:pPr>
            <w:r>
              <w:rPr>
                <w:rFonts w:ascii="Calibri" w:eastAsia="Calibri" w:hAnsi="Calibri" w:cs="Calibri"/>
                <w:b/>
                <w:bCs/>
              </w:rPr>
              <w:t>Djelomično prihvaća se</w:t>
            </w:r>
          </w:p>
        </w:tc>
        <w:tc>
          <w:tcPr>
            <w:tcW w:w="5900" w:type="dxa"/>
            <w:tcMar>
              <w:top w:w="100" w:type="dxa"/>
              <w:left w:w="120" w:type="dxa"/>
              <w:bottom w:w="100" w:type="dxa"/>
              <w:right w:w="120" w:type="dxa"/>
            </w:tcMar>
          </w:tcPr>
          <w:p w14:paraId="40DBE0EB" w14:textId="77777777" w:rsidR="00EA2DD4" w:rsidRDefault="00000000">
            <w:pPr>
              <w:spacing w:after="80"/>
            </w:pPr>
            <w:r>
              <w:rPr>
                <w:rFonts w:ascii="Calibri" w:eastAsia="Calibri" w:hAnsi="Calibri" w:cs="Calibri"/>
              </w:rPr>
              <w:t>Uveden je novi članak 3.a koji definira pojam „nekretnine" u smislu ove Odluke, uređuje pitanje suvlasništva te ovlašćuje Komunalno-prometnog redara da u postupku rješavanja utvrdi ispunjava li nekretnina propisane uvjete.</w:t>
            </w:r>
          </w:p>
          <w:p w14:paraId="4E507C26" w14:textId="77777777" w:rsidR="00EA2DD4" w:rsidRDefault="00000000">
            <w:pPr>
              <w:spacing w:after="80"/>
            </w:pPr>
            <w:r>
              <w:rPr>
                <w:rFonts w:ascii="Calibri" w:eastAsia="Calibri" w:hAnsi="Calibri" w:cs="Calibri"/>
              </w:rPr>
              <w:t>Članak 11. izmijenjen je tako da se pravo besplatnog ulaska izričito veže uz stanovnike s prijavljenom adresom u jezgri neovisno o vlasništvu, dok se posjedovanje rezerviranog parkirnog mjesta ili parkirališne karte izdvaja kao zaseban uvjet vezan isključivo uz korištenje parkirališta, a ne uz sâm ulazak u jezgru. Time je otklonjena bit primjedbe - stanovnik bez vlasništva ima pravo ulaska u jezgru.</w:t>
            </w:r>
          </w:p>
          <w:p w14:paraId="00B7A369" w14:textId="5E30EBE6" w:rsidR="00EA2DD4" w:rsidRDefault="00000000">
            <w:pPr>
              <w:spacing w:after="80"/>
            </w:pPr>
            <w:r>
              <w:rPr>
                <w:rFonts w:ascii="Calibri" w:eastAsia="Calibri" w:hAnsi="Calibri" w:cs="Calibri"/>
              </w:rPr>
              <w:t xml:space="preserve">Napomena: dokumentacijski popis u članku 8. za kategoriju „stanovnici" u ovoj radnoj verziji nacrta i dalje sadrži zahtjev za „izvadak iz BZP-a kojim se dokazuje vlasništvo". Ovo je potrebno terminološki uskladiti s člancima 6., 3.a i 11. prije </w:t>
            </w:r>
            <w:r w:rsidR="00AA1B21">
              <w:rPr>
                <w:rFonts w:ascii="Calibri" w:eastAsia="Calibri" w:hAnsi="Calibri" w:cs="Calibri"/>
              </w:rPr>
              <w:t>usvajanja</w:t>
            </w:r>
            <w:r>
              <w:rPr>
                <w:rFonts w:ascii="Calibri" w:eastAsia="Calibri" w:hAnsi="Calibri" w:cs="Calibri"/>
              </w:rPr>
              <w:t xml:space="preserve"> Odluke na </w:t>
            </w:r>
            <w:r w:rsidR="00AA1B21">
              <w:rPr>
                <w:rFonts w:ascii="Calibri" w:eastAsia="Calibri" w:hAnsi="Calibri" w:cs="Calibri"/>
              </w:rPr>
              <w:t>općinskom vijeću</w:t>
            </w:r>
            <w:r>
              <w:rPr>
                <w:rFonts w:ascii="Calibri" w:eastAsia="Calibri" w:hAnsi="Calibri" w:cs="Calibri"/>
              </w:rPr>
              <w:t>, kako se popis dokumentacije u praksi ne bi tumačio kao dodatni uvjet vlasništva za kategoriju koja ga po ostalim odredbama Odluke ne treba dokazivati.</w:t>
            </w:r>
          </w:p>
        </w:tc>
      </w:tr>
      <w:tr w:rsidR="00EA2DD4" w14:paraId="09157593" w14:textId="77777777">
        <w:tblPrEx>
          <w:tblCellMar>
            <w:top w:w="0" w:type="dxa"/>
            <w:bottom w:w="0" w:type="dxa"/>
          </w:tblCellMar>
        </w:tblPrEx>
        <w:tc>
          <w:tcPr>
            <w:tcW w:w="500" w:type="dxa"/>
            <w:tcMar>
              <w:top w:w="100" w:type="dxa"/>
              <w:left w:w="120" w:type="dxa"/>
              <w:bottom w:w="100" w:type="dxa"/>
              <w:right w:w="120" w:type="dxa"/>
            </w:tcMar>
          </w:tcPr>
          <w:p w14:paraId="6F395F42" w14:textId="77777777" w:rsidR="00EA2DD4" w:rsidRDefault="00000000">
            <w:pPr>
              <w:spacing w:after="80"/>
            </w:pPr>
            <w:r>
              <w:rPr>
                <w:rFonts w:ascii="Calibri" w:eastAsia="Calibri" w:hAnsi="Calibri" w:cs="Calibri"/>
              </w:rPr>
              <w:t>2.</w:t>
            </w:r>
          </w:p>
        </w:tc>
        <w:tc>
          <w:tcPr>
            <w:tcW w:w="3000" w:type="dxa"/>
            <w:tcMar>
              <w:top w:w="100" w:type="dxa"/>
              <w:left w:w="120" w:type="dxa"/>
              <w:bottom w:w="100" w:type="dxa"/>
              <w:right w:w="120" w:type="dxa"/>
            </w:tcMar>
          </w:tcPr>
          <w:p w14:paraId="0708552A" w14:textId="77777777" w:rsidR="00EA2DD4" w:rsidRDefault="00000000">
            <w:pPr>
              <w:spacing w:after="80"/>
            </w:pPr>
            <w:r>
              <w:rPr>
                <w:rFonts w:ascii="Calibri" w:eastAsia="Calibri" w:hAnsi="Calibri" w:cs="Calibri"/>
              </w:rPr>
              <w:t>Nedosljednost u definiranju pojma „korisnika" nekretnine unutar Odluke</w:t>
            </w:r>
          </w:p>
        </w:tc>
        <w:tc>
          <w:tcPr>
            <w:tcW w:w="1700" w:type="dxa"/>
            <w:shd w:val="clear" w:color="auto" w:fill="E2EFDA"/>
            <w:tcMar>
              <w:top w:w="100" w:type="dxa"/>
              <w:left w:w="120" w:type="dxa"/>
              <w:bottom w:w="100" w:type="dxa"/>
              <w:right w:w="120" w:type="dxa"/>
            </w:tcMar>
          </w:tcPr>
          <w:p w14:paraId="65B7D099" w14:textId="77777777" w:rsidR="00EA2DD4" w:rsidRDefault="00000000">
            <w:pPr>
              <w:spacing w:after="80"/>
            </w:pPr>
            <w:r>
              <w:rPr>
                <w:rFonts w:ascii="Calibri" w:eastAsia="Calibri" w:hAnsi="Calibri" w:cs="Calibri"/>
                <w:b/>
                <w:bCs/>
              </w:rPr>
              <w:t>Prihvaća se</w:t>
            </w:r>
          </w:p>
        </w:tc>
        <w:tc>
          <w:tcPr>
            <w:tcW w:w="5900" w:type="dxa"/>
            <w:tcMar>
              <w:top w:w="100" w:type="dxa"/>
              <w:left w:w="120" w:type="dxa"/>
              <w:bottom w:w="100" w:type="dxa"/>
              <w:right w:w="120" w:type="dxa"/>
            </w:tcMar>
          </w:tcPr>
          <w:p w14:paraId="57CA5B17" w14:textId="77777777" w:rsidR="00EA2DD4" w:rsidRDefault="00000000">
            <w:pPr>
              <w:spacing w:after="80"/>
            </w:pPr>
            <w:r>
              <w:rPr>
                <w:rFonts w:ascii="Calibri" w:eastAsia="Calibri" w:hAnsi="Calibri" w:cs="Calibri"/>
              </w:rPr>
              <w:t>Članak 15. sada izričito razlikuje kategorije osoba s pravom na parkirno mjesto: (1) osobe s prijavljenim prebivalištem koje su ujedno vlasnici/suvlasnici nekretnine, (2) osobe s prijavljenim prebivalištem koje nisu vlasnici, ali stvarno koriste nekretninu kao mjesto stanovanja, (3) vlasnici nekretnine bez prijavljenog prebivališta. Time je pojam „korisnika" iz članaka 6. i 10. usklađen s pravima na dodjelu parkirnog mjesta iz članka 15., čime je otklonjena nedosljednost na koju je podnositelj ukazao.</w:t>
            </w:r>
          </w:p>
        </w:tc>
      </w:tr>
      <w:tr w:rsidR="00EA2DD4" w14:paraId="5E83C6A5" w14:textId="77777777">
        <w:tblPrEx>
          <w:tblCellMar>
            <w:top w:w="0" w:type="dxa"/>
            <w:bottom w:w="0" w:type="dxa"/>
          </w:tblCellMar>
        </w:tblPrEx>
        <w:tc>
          <w:tcPr>
            <w:tcW w:w="500" w:type="dxa"/>
            <w:tcMar>
              <w:top w:w="100" w:type="dxa"/>
              <w:left w:w="120" w:type="dxa"/>
              <w:bottom w:w="100" w:type="dxa"/>
              <w:right w:w="120" w:type="dxa"/>
            </w:tcMar>
          </w:tcPr>
          <w:p w14:paraId="174C3151" w14:textId="77777777" w:rsidR="00EA2DD4" w:rsidRDefault="00000000">
            <w:pPr>
              <w:spacing w:after="80"/>
            </w:pPr>
            <w:r>
              <w:rPr>
                <w:rFonts w:ascii="Calibri" w:eastAsia="Calibri" w:hAnsi="Calibri" w:cs="Calibri"/>
              </w:rPr>
              <w:t>3.</w:t>
            </w:r>
          </w:p>
        </w:tc>
        <w:tc>
          <w:tcPr>
            <w:tcW w:w="3000" w:type="dxa"/>
            <w:tcMar>
              <w:top w:w="100" w:type="dxa"/>
              <w:left w:w="120" w:type="dxa"/>
              <w:bottom w:w="100" w:type="dxa"/>
              <w:right w:w="120" w:type="dxa"/>
            </w:tcMar>
          </w:tcPr>
          <w:p w14:paraId="610CAAA5" w14:textId="77777777" w:rsidR="00EA2DD4" w:rsidRDefault="00000000">
            <w:pPr>
              <w:spacing w:after="80"/>
            </w:pPr>
            <w:r>
              <w:rPr>
                <w:rFonts w:ascii="Calibri" w:eastAsia="Calibri" w:hAnsi="Calibri" w:cs="Calibri"/>
              </w:rPr>
              <w:t>Nesrazmjer obveza i prava u članku 9. (uvjet nepostojanja dugovanja)</w:t>
            </w:r>
          </w:p>
        </w:tc>
        <w:tc>
          <w:tcPr>
            <w:tcW w:w="1700" w:type="dxa"/>
            <w:shd w:val="clear" w:color="auto" w:fill="E2EFDA"/>
            <w:tcMar>
              <w:top w:w="100" w:type="dxa"/>
              <w:left w:w="120" w:type="dxa"/>
              <w:bottom w:w="100" w:type="dxa"/>
              <w:right w:w="120" w:type="dxa"/>
            </w:tcMar>
          </w:tcPr>
          <w:p w14:paraId="3DFB5AF3" w14:textId="77777777" w:rsidR="00EA2DD4" w:rsidRDefault="00000000">
            <w:pPr>
              <w:spacing w:after="80"/>
            </w:pPr>
            <w:r>
              <w:rPr>
                <w:rFonts w:ascii="Calibri" w:eastAsia="Calibri" w:hAnsi="Calibri" w:cs="Calibri"/>
                <w:b/>
                <w:bCs/>
              </w:rPr>
              <w:t>Prihvaća se</w:t>
            </w:r>
          </w:p>
        </w:tc>
        <w:tc>
          <w:tcPr>
            <w:tcW w:w="5900" w:type="dxa"/>
            <w:tcMar>
              <w:top w:w="100" w:type="dxa"/>
              <w:left w:w="120" w:type="dxa"/>
              <w:bottom w:w="100" w:type="dxa"/>
              <w:right w:w="120" w:type="dxa"/>
            </w:tcMar>
          </w:tcPr>
          <w:p w14:paraId="6EDD0267" w14:textId="77777777" w:rsidR="00EA2DD4" w:rsidRDefault="00000000">
            <w:pPr>
              <w:spacing w:after="80"/>
            </w:pPr>
            <w:r>
              <w:rPr>
                <w:rFonts w:ascii="Calibri" w:eastAsia="Calibri" w:hAnsi="Calibri" w:cs="Calibri"/>
              </w:rPr>
              <w:t>Članak 9. u cijelosti je preformuliran. Umjesto općenitog uvjeta „nepostojanja bilo kakvog dugovanja po bilo kojoj osnovi", uvjet za odbijanje zahtjeva sada je ograničen na dospjela, nepodmirena dugovanja koja su neposredno povezana s korištenjem prava iz ove Odluke - naknadu za ulazak, korištenje rezerviranog parkirališnog mjesta, komunalnu naknadu, porez na nekretnine te druge tražbine koje proizlaze iz provedbe Odluke.</w:t>
            </w:r>
          </w:p>
          <w:p w14:paraId="2FB2195D" w14:textId="77777777" w:rsidR="00EA2DD4" w:rsidRDefault="00000000">
            <w:pPr>
              <w:spacing w:after="80"/>
            </w:pPr>
            <w:r>
              <w:rPr>
                <w:rFonts w:ascii="Calibri" w:eastAsia="Calibri" w:hAnsi="Calibri" w:cs="Calibri"/>
              </w:rPr>
              <w:lastRenderedPageBreak/>
              <w:t>Dodatno je propisana obveza redara da prije donošenja rješenja omogući podnositelju očitovanje o utvrđenom stanju duga, rok od 5 radnih dana za odlučivanje te pravo žalbe. Time je otklonjena asimetrija između šireg kriterija naplate (korisnik) i užeg kriterija dodjele prava (vlasnik) na koju je podnositelj ukazao.</w:t>
            </w:r>
          </w:p>
        </w:tc>
      </w:tr>
      <w:tr w:rsidR="00EA2DD4" w14:paraId="0F94FF74" w14:textId="77777777">
        <w:tblPrEx>
          <w:tblCellMar>
            <w:top w:w="0" w:type="dxa"/>
            <w:bottom w:w="0" w:type="dxa"/>
          </w:tblCellMar>
        </w:tblPrEx>
        <w:tc>
          <w:tcPr>
            <w:tcW w:w="500" w:type="dxa"/>
            <w:tcMar>
              <w:top w:w="100" w:type="dxa"/>
              <w:left w:w="120" w:type="dxa"/>
              <w:bottom w:w="100" w:type="dxa"/>
              <w:right w:w="120" w:type="dxa"/>
            </w:tcMar>
          </w:tcPr>
          <w:p w14:paraId="00689B2F" w14:textId="77777777" w:rsidR="00EA2DD4" w:rsidRDefault="00000000">
            <w:pPr>
              <w:spacing w:after="80"/>
            </w:pPr>
            <w:r>
              <w:rPr>
                <w:rFonts w:ascii="Calibri" w:eastAsia="Calibri" w:hAnsi="Calibri" w:cs="Calibri"/>
              </w:rPr>
              <w:lastRenderedPageBreak/>
              <w:t>4.</w:t>
            </w:r>
          </w:p>
        </w:tc>
        <w:tc>
          <w:tcPr>
            <w:tcW w:w="3000" w:type="dxa"/>
            <w:tcMar>
              <w:top w:w="100" w:type="dxa"/>
              <w:left w:w="120" w:type="dxa"/>
              <w:bottom w:w="100" w:type="dxa"/>
              <w:right w:w="120" w:type="dxa"/>
            </w:tcMar>
          </w:tcPr>
          <w:p w14:paraId="48161B7D" w14:textId="77777777" w:rsidR="00EA2DD4" w:rsidRDefault="00000000">
            <w:pPr>
              <w:spacing w:after="80"/>
            </w:pPr>
            <w:r>
              <w:rPr>
                <w:rFonts w:ascii="Calibri" w:eastAsia="Calibri" w:hAnsi="Calibri" w:cs="Calibri"/>
              </w:rPr>
              <w:t>Nelogičan sustav prioriteta pri dodjeli i licitaciji parkirnih mjesta (čl. 15., 19., 20.)</w:t>
            </w:r>
          </w:p>
        </w:tc>
        <w:tc>
          <w:tcPr>
            <w:tcW w:w="1700" w:type="dxa"/>
            <w:shd w:val="clear" w:color="auto" w:fill="E2EFDA"/>
            <w:tcMar>
              <w:top w:w="100" w:type="dxa"/>
              <w:left w:w="120" w:type="dxa"/>
              <w:bottom w:w="100" w:type="dxa"/>
              <w:right w:w="120" w:type="dxa"/>
            </w:tcMar>
          </w:tcPr>
          <w:p w14:paraId="132953D8" w14:textId="77777777" w:rsidR="00EA2DD4" w:rsidRDefault="00000000">
            <w:pPr>
              <w:spacing w:after="80"/>
            </w:pPr>
            <w:r>
              <w:rPr>
                <w:rFonts w:ascii="Calibri" w:eastAsia="Calibri" w:hAnsi="Calibri" w:cs="Calibri"/>
                <w:b/>
                <w:bCs/>
              </w:rPr>
              <w:t>Prihvaća se</w:t>
            </w:r>
          </w:p>
        </w:tc>
        <w:tc>
          <w:tcPr>
            <w:tcW w:w="5900" w:type="dxa"/>
            <w:tcMar>
              <w:top w:w="100" w:type="dxa"/>
              <w:left w:w="120" w:type="dxa"/>
              <w:bottom w:w="100" w:type="dxa"/>
              <w:right w:w="120" w:type="dxa"/>
            </w:tcMar>
          </w:tcPr>
          <w:p w14:paraId="338247A2" w14:textId="77777777" w:rsidR="00EA2DD4" w:rsidRDefault="00000000">
            <w:pPr>
              <w:spacing w:after="80"/>
            </w:pPr>
            <w:r>
              <w:rPr>
                <w:rFonts w:ascii="Calibri" w:eastAsia="Calibri" w:hAnsi="Calibri" w:cs="Calibri"/>
              </w:rPr>
              <w:t>Članci 15., 19. i 20. u cijelosti su preoblikovani. Uveden je redoslijed prioriteta pri dodjeli parkirnih mjesta koji u bitnome odgovara redoslijedu koji je predložio podnositelj: 1) osobe s prijavljenim prebivalištem koje su vlasnici/suvlasnici nekretnine, 2) osobe s prijavljenim prebivalištem koje nisu vlasnici, ali stvarno koriste nekretninu za stanovanje, 3) vlasnici nekretnine bez prijavljenog prebivališta, 4) ostali korisnici putem javne licitacije (čl. 19.).</w:t>
            </w:r>
          </w:p>
          <w:p w14:paraId="2802D43D" w14:textId="77777777" w:rsidR="00EA2DD4" w:rsidRDefault="00000000">
            <w:pPr>
              <w:spacing w:after="80"/>
            </w:pPr>
            <w:r>
              <w:rPr>
                <w:rFonts w:ascii="Calibri" w:eastAsia="Calibri" w:hAnsi="Calibri" w:cs="Calibri"/>
              </w:rPr>
              <w:t>U prvom krugu licitacije za dodatno (drugo) parkirno mjesto (čl. 20.) sada sudjeluju osobe iz obiju prvih kategorija - dakle i stvarni stanovnici bez vlasništva, a ne samo vlasnici kao u prethodnoj verziji nacrta. U drugom krugu sudjeluju vlasnici bez prijavljenog prebivališta i ostale zainteresirane osobe. Time je otklonjena mogućnost da vlasnik bez prebivališta u jezgri ostvari pravo na parkirno mjesto ispred stanovnika koji u jezgri stvarno živi.</w:t>
            </w:r>
          </w:p>
        </w:tc>
      </w:tr>
      <w:tr w:rsidR="00EA2DD4" w14:paraId="7637ABED" w14:textId="77777777">
        <w:tblPrEx>
          <w:tblCellMar>
            <w:top w:w="0" w:type="dxa"/>
            <w:bottom w:w="0" w:type="dxa"/>
          </w:tblCellMar>
        </w:tblPrEx>
        <w:tc>
          <w:tcPr>
            <w:tcW w:w="500" w:type="dxa"/>
            <w:tcMar>
              <w:top w:w="100" w:type="dxa"/>
              <w:left w:w="120" w:type="dxa"/>
              <w:bottom w:w="100" w:type="dxa"/>
              <w:right w:w="120" w:type="dxa"/>
            </w:tcMar>
          </w:tcPr>
          <w:p w14:paraId="6218D011" w14:textId="77777777" w:rsidR="00EA2DD4" w:rsidRDefault="00000000">
            <w:pPr>
              <w:spacing w:after="80"/>
            </w:pPr>
            <w:r>
              <w:rPr>
                <w:rFonts w:ascii="Calibri" w:eastAsia="Calibri" w:hAnsi="Calibri" w:cs="Calibri"/>
              </w:rPr>
              <w:t>5.</w:t>
            </w:r>
          </w:p>
        </w:tc>
        <w:tc>
          <w:tcPr>
            <w:tcW w:w="3000" w:type="dxa"/>
            <w:tcMar>
              <w:top w:w="100" w:type="dxa"/>
              <w:left w:w="120" w:type="dxa"/>
              <w:bottom w:w="100" w:type="dxa"/>
              <w:right w:w="120" w:type="dxa"/>
            </w:tcMar>
          </w:tcPr>
          <w:p w14:paraId="6CF30E97" w14:textId="77777777" w:rsidR="00EA2DD4" w:rsidRDefault="00000000">
            <w:pPr>
              <w:spacing w:after="80"/>
            </w:pPr>
            <w:r>
              <w:rPr>
                <w:rFonts w:ascii="Calibri" w:eastAsia="Calibri" w:hAnsi="Calibri" w:cs="Calibri"/>
              </w:rPr>
              <w:t>Socijalna i životna nepravednost prema stvarnim stanovnicima bez vlasništva</w:t>
            </w:r>
          </w:p>
        </w:tc>
        <w:tc>
          <w:tcPr>
            <w:tcW w:w="1700" w:type="dxa"/>
            <w:shd w:val="clear" w:color="auto" w:fill="E2EFDA"/>
            <w:tcMar>
              <w:top w:w="100" w:type="dxa"/>
              <w:left w:w="120" w:type="dxa"/>
              <w:bottom w:w="100" w:type="dxa"/>
              <w:right w:w="120" w:type="dxa"/>
            </w:tcMar>
          </w:tcPr>
          <w:p w14:paraId="43839EB5" w14:textId="77777777" w:rsidR="00EA2DD4" w:rsidRDefault="00000000">
            <w:pPr>
              <w:spacing w:after="80"/>
            </w:pPr>
            <w:r>
              <w:rPr>
                <w:rFonts w:ascii="Calibri" w:eastAsia="Calibri" w:hAnsi="Calibri" w:cs="Calibri"/>
                <w:b/>
                <w:bCs/>
              </w:rPr>
              <w:t>Prihvaća se (posljedično)</w:t>
            </w:r>
          </w:p>
        </w:tc>
        <w:tc>
          <w:tcPr>
            <w:tcW w:w="5900" w:type="dxa"/>
            <w:tcMar>
              <w:top w:w="100" w:type="dxa"/>
              <w:left w:w="120" w:type="dxa"/>
              <w:bottom w:w="100" w:type="dxa"/>
              <w:right w:w="120" w:type="dxa"/>
            </w:tcMar>
          </w:tcPr>
          <w:p w14:paraId="2B6C564E" w14:textId="77777777" w:rsidR="00EA2DD4" w:rsidRDefault="00000000">
            <w:pPr>
              <w:spacing w:after="80"/>
            </w:pPr>
            <w:r>
              <w:rPr>
                <w:rFonts w:ascii="Calibri" w:eastAsia="Calibri" w:hAnsi="Calibri" w:cs="Calibri"/>
              </w:rPr>
              <w:t>Kao izravna posljedica izmjena članaka 15., 19. i 20., stanovnici koji u jezgri stvarno žive bez prava vlasništva (primjerice djeca u roditeljskim kućama ili osobe s prijavljenim prebivalištem po drugoj pravnoj osnovi) sada su prepoznati kao zasebna, ravnopravna kategorija korisnika s pravom na parkirno mjesto sukladno utvrđenom redoslijedu prioriteta, čime je otklonjena diskriminacija na koju je podnositelj ukazao.</w:t>
            </w:r>
          </w:p>
        </w:tc>
      </w:tr>
      <w:tr w:rsidR="00EA2DD4" w14:paraId="2A5FE1A7" w14:textId="77777777">
        <w:tblPrEx>
          <w:tblCellMar>
            <w:top w:w="0" w:type="dxa"/>
            <w:bottom w:w="0" w:type="dxa"/>
          </w:tblCellMar>
        </w:tblPrEx>
        <w:tc>
          <w:tcPr>
            <w:tcW w:w="500" w:type="dxa"/>
            <w:tcMar>
              <w:top w:w="100" w:type="dxa"/>
              <w:left w:w="120" w:type="dxa"/>
              <w:bottom w:w="100" w:type="dxa"/>
              <w:right w:w="120" w:type="dxa"/>
            </w:tcMar>
          </w:tcPr>
          <w:p w14:paraId="50CB88C6" w14:textId="77777777" w:rsidR="00EA2DD4" w:rsidRDefault="00000000">
            <w:pPr>
              <w:spacing w:after="80"/>
            </w:pPr>
            <w:r>
              <w:rPr>
                <w:rFonts w:ascii="Calibri" w:eastAsia="Calibri" w:hAnsi="Calibri" w:cs="Calibri"/>
              </w:rPr>
              <w:t>6.</w:t>
            </w:r>
          </w:p>
        </w:tc>
        <w:tc>
          <w:tcPr>
            <w:tcW w:w="3000" w:type="dxa"/>
            <w:tcMar>
              <w:top w:w="100" w:type="dxa"/>
              <w:left w:w="120" w:type="dxa"/>
              <w:bottom w:w="100" w:type="dxa"/>
              <w:right w:w="120" w:type="dxa"/>
            </w:tcMar>
          </w:tcPr>
          <w:p w14:paraId="2B4B0081" w14:textId="77777777" w:rsidR="00EA2DD4" w:rsidRDefault="00000000">
            <w:pPr>
              <w:spacing w:after="80"/>
            </w:pPr>
            <w:r>
              <w:rPr>
                <w:rFonts w:ascii="Calibri" w:eastAsia="Calibri" w:hAnsi="Calibri" w:cs="Calibri"/>
              </w:rPr>
              <w:t>Nedefiniranost pojma „nekretnine" (vrsta, namjena, suvlasnički udio, useljivost)</w:t>
            </w:r>
          </w:p>
        </w:tc>
        <w:tc>
          <w:tcPr>
            <w:tcW w:w="1700" w:type="dxa"/>
            <w:shd w:val="clear" w:color="auto" w:fill="E2EFDA"/>
            <w:tcMar>
              <w:top w:w="100" w:type="dxa"/>
              <w:left w:w="120" w:type="dxa"/>
              <w:bottom w:w="100" w:type="dxa"/>
              <w:right w:w="120" w:type="dxa"/>
            </w:tcMar>
          </w:tcPr>
          <w:p w14:paraId="775F0FE7" w14:textId="77777777" w:rsidR="00EA2DD4" w:rsidRDefault="00000000">
            <w:pPr>
              <w:spacing w:after="80"/>
            </w:pPr>
            <w:r>
              <w:rPr>
                <w:rFonts w:ascii="Calibri" w:eastAsia="Calibri" w:hAnsi="Calibri" w:cs="Calibri"/>
                <w:b/>
                <w:bCs/>
              </w:rPr>
              <w:t>Prihvaća se</w:t>
            </w:r>
          </w:p>
        </w:tc>
        <w:tc>
          <w:tcPr>
            <w:tcW w:w="5900" w:type="dxa"/>
            <w:tcMar>
              <w:top w:w="100" w:type="dxa"/>
              <w:left w:w="120" w:type="dxa"/>
              <w:bottom w:w="100" w:type="dxa"/>
              <w:right w:w="120" w:type="dxa"/>
            </w:tcMar>
          </w:tcPr>
          <w:p w14:paraId="14F21638" w14:textId="77777777" w:rsidR="00EA2DD4" w:rsidRDefault="00000000">
            <w:pPr>
              <w:spacing w:after="80"/>
            </w:pPr>
            <w:r>
              <w:rPr>
                <w:rFonts w:ascii="Calibri" w:eastAsia="Calibri" w:hAnsi="Calibri" w:cs="Calibri"/>
              </w:rPr>
              <w:t>Uveden je novi članak 3.a koji: a) definira nekretninu kao stambenu jedinicu ili poslovni prostor unutar stare jezgre podoban za stanovanje odnosno obavljanje registrirane djelatnosti, izričito isključujući zemljišta, pomoćne građevine te ruševne ili funkcionalno neodgovarajuće objekte; b) uređuje slučaj suvlasništva - pravo se ostvaruje sporazumnim određivanjem korisnika prava među suvlasnicima ili, u slučaju spora, prema kriteriju stvarnog korištenja nekretnine; c) ovlašćuje Komunalno-prometnog redara da u postupku rješavanja utvrdi ispunjava li nekretnina navedene uvjete, uzimajući u obzir njezinu namjenu, funkcionalnost i stvarno korištenje.</w:t>
            </w:r>
          </w:p>
          <w:p w14:paraId="264B1B37" w14:textId="77777777" w:rsidR="00EA2DD4" w:rsidRDefault="00000000">
            <w:pPr>
              <w:spacing w:after="80"/>
            </w:pPr>
            <w:r>
              <w:rPr>
                <w:rFonts w:ascii="Calibri" w:eastAsia="Calibri" w:hAnsi="Calibri" w:cs="Calibri"/>
              </w:rPr>
              <w:t xml:space="preserve">Umjesto propisivanja fiksnog minimalnog postotka suvlasničkog udjela, odabran je fleksibilniji mehanizam pojedinačne ocjene ispunjavanja uvjeta u svakom predmetu, što se ocjenjuje primjerenijim rješenjem s obzirom na raznolikost </w:t>
            </w:r>
            <w:proofErr w:type="spellStart"/>
            <w:r>
              <w:rPr>
                <w:rFonts w:ascii="Calibri" w:eastAsia="Calibri" w:hAnsi="Calibri" w:cs="Calibri"/>
              </w:rPr>
              <w:t>stvarnopravnih</w:t>
            </w:r>
            <w:proofErr w:type="spellEnd"/>
            <w:r>
              <w:rPr>
                <w:rFonts w:ascii="Calibri" w:eastAsia="Calibri" w:hAnsi="Calibri" w:cs="Calibri"/>
              </w:rPr>
              <w:t xml:space="preserve"> odnosa u staroj jezgri.</w:t>
            </w:r>
          </w:p>
        </w:tc>
      </w:tr>
      <w:tr w:rsidR="00EA2DD4" w14:paraId="0296BF45" w14:textId="77777777">
        <w:tblPrEx>
          <w:tblCellMar>
            <w:top w:w="0" w:type="dxa"/>
            <w:bottom w:w="0" w:type="dxa"/>
          </w:tblCellMar>
        </w:tblPrEx>
        <w:tc>
          <w:tcPr>
            <w:tcW w:w="500" w:type="dxa"/>
            <w:tcMar>
              <w:top w:w="100" w:type="dxa"/>
              <w:left w:w="120" w:type="dxa"/>
              <w:bottom w:w="100" w:type="dxa"/>
              <w:right w:w="120" w:type="dxa"/>
            </w:tcMar>
          </w:tcPr>
          <w:p w14:paraId="3B6080E3" w14:textId="77777777" w:rsidR="00EA2DD4" w:rsidRDefault="00000000">
            <w:pPr>
              <w:spacing w:after="80"/>
            </w:pPr>
            <w:r>
              <w:rPr>
                <w:rFonts w:ascii="Calibri" w:eastAsia="Calibri" w:hAnsi="Calibri" w:cs="Calibri"/>
              </w:rPr>
              <w:t>7.</w:t>
            </w:r>
          </w:p>
        </w:tc>
        <w:tc>
          <w:tcPr>
            <w:tcW w:w="3000" w:type="dxa"/>
            <w:tcMar>
              <w:top w:w="100" w:type="dxa"/>
              <w:left w:w="120" w:type="dxa"/>
              <w:bottom w:w="100" w:type="dxa"/>
              <w:right w:w="120" w:type="dxa"/>
            </w:tcMar>
          </w:tcPr>
          <w:p w14:paraId="003D474E" w14:textId="77777777" w:rsidR="00EA2DD4" w:rsidRDefault="00000000">
            <w:pPr>
              <w:spacing w:after="80"/>
            </w:pPr>
            <w:r>
              <w:rPr>
                <w:rFonts w:ascii="Calibri" w:eastAsia="Calibri" w:hAnsi="Calibri" w:cs="Calibri"/>
              </w:rPr>
              <w:t>Konkretni prijedlozi izmjena pojedinih članaka</w:t>
            </w:r>
          </w:p>
        </w:tc>
        <w:tc>
          <w:tcPr>
            <w:tcW w:w="1700" w:type="dxa"/>
            <w:shd w:val="clear" w:color="auto" w:fill="FFF2CC"/>
            <w:tcMar>
              <w:top w:w="100" w:type="dxa"/>
              <w:left w:w="120" w:type="dxa"/>
              <w:bottom w:w="100" w:type="dxa"/>
              <w:right w:w="120" w:type="dxa"/>
            </w:tcMar>
          </w:tcPr>
          <w:p w14:paraId="49E52FB6" w14:textId="77777777" w:rsidR="00EA2DD4" w:rsidRDefault="00000000">
            <w:pPr>
              <w:spacing w:after="80"/>
            </w:pPr>
            <w:r>
              <w:rPr>
                <w:rFonts w:ascii="Calibri" w:eastAsia="Calibri" w:hAnsi="Calibri" w:cs="Calibri"/>
                <w:b/>
                <w:bCs/>
              </w:rPr>
              <w:t>Djelomično prihvaća se</w:t>
            </w:r>
          </w:p>
        </w:tc>
        <w:tc>
          <w:tcPr>
            <w:tcW w:w="5900" w:type="dxa"/>
            <w:tcMar>
              <w:top w:w="100" w:type="dxa"/>
              <w:left w:w="120" w:type="dxa"/>
              <w:bottom w:w="100" w:type="dxa"/>
              <w:right w:w="120" w:type="dxa"/>
            </w:tcMar>
          </w:tcPr>
          <w:p w14:paraId="786431AE" w14:textId="77777777" w:rsidR="00EA2DD4" w:rsidRDefault="00000000">
            <w:pPr>
              <w:spacing w:after="80"/>
            </w:pPr>
            <w:r>
              <w:rPr>
                <w:rFonts w:ascii="Calibri" w:eastAsia="Calibri" w:hAnsi="Calibri" w:cs="Calibri"/>
              </w:rPr>
              <w:t>Usklađenje čl. 8. s čl. 6. (ukidanje obveze dostave izvatka iz BZP-a za kategoriju „stanovnici") - nije u cijelosti provedeno u ovoj radnoj verziji dokumentacijskog popisa članka 8.; zahtjev ostaje na snazi do konačne redakcijske usklade (vidi napomenu uz točku 1.).</w:t>
            </w:r>
          </w:p>
          <w:p w14:paraId="36D2E343" w14:textId="77777777" w:rsidR="00EA2DD4" w:rsidRDefault="00000000">
            <w:pPr>
              <w:spacing w:after="80"/>
            </w:pPr>
            <w:r>
              <w:rPr>
                <w:rFonts w:ascii="Calibri" w:eastAsia="Calibri" w:hAnsi="Calibri" w:cs="Calibri"/>
              </w:rPr>
              <w:t>Preformulacija čl. 15. - prihvaćeno u sadržajnom smislu, kroz drugačiju zakonsko-tehničku formulaciju (kategorizacija u četiri točke umjesto jedinstvene rečenice), čime se postiže isti cilj kao u prijedlogu podnositelja.</w:t>
            </w:r>
          </w:p>
          <w:p w14:paraId="53654F57" w14:textId="77777777" w:rsidR="00EA2DD4" w:rsidRDefault="00000000">
            <w:pPr>
              <w:spacing w:after="80"/>
            </w:pPr>
            <w:r>
              <w:rPr>
                <w:rFonts w:ascii="Calibri" w:eastAsia="Calibri" w:hAnsi="Calibri" w:cs="Calibri"/>
              </w:rPr>
              <w:t>Usklađenje redoslijeda prioriteta u čl. 19. i 20. - prihvaćeno u cijelosti, sukladno redoslijedu koji je predložio podnositelj.</w:t>
            </w:r>
          </w:p>
          <w:p w14:paraId="70A199D0" w14:textId="77777777" w:rsidR="00EA2DD4" w:rsidRDefault="00000000">
            <w:pPr>
              <w:spacing w:after="80"/>
            </w:pPr>
            <w:r>
              <w:rPr>
                <w:rFonts w:ascii="Calibri" w:eastAsia="Calibri" w:hAnsi="Calibri" w:cs="Calibri"/>
              </w:rPr>
              <w:lastRenderedPageBreak/>
              <w:t>Preciziranje pojma „nekretnine", minimalnog postotka vlasništva i uvjeta useljivosti - prihvaćeno kroz novi čl. 3.a, uz napomenu da je umjesto brojčanog praga suvlasničkog udjela uveden mehanizam diskrecijske ocjene Komunalno-prometnog redara u svakom pojedinačnom slučaju.</w:t>
            </w:r>
          </w:p>
        </w:tc>
      </w:tr>
    </w:tbl>
    <w:p w14:paraId="6C347389" w14:textId="77777777" w:rsidR="00EA2DD4" w:rsidRDefault="00000000">
      <w:pPr>
        <w:spacing w:before="300" w:after="100"/>
      </w:pPr>
      <w:r>
        <w:rPr>
          <w:rFonts w:ascii="Calibri" w:eastAsia="Calibri" w:hAnsi="Calibri" w:cs="Calibri"/>
          <w:b/>
          <w:bCs/>
          <w:sz w:val="22"/>
          <w:szCs w:val="22"/>
        </w:rPr>
        <w:lastRenderedPageBreak/>
        <w:t xml:space="preserve">Zaključna napomena uz primjedbe g. </w:t>
      </w:r>
      <w:proofErr w:type="spellStart"/>
      <w:r>
        <w:rPr>
          <w:rFonts w:ascii="Calibri" w:eastAsia="Calibri" w:hAnsi="Calibri" w:cs="Calibri"/>
          <w:b/>
          <w:bCs/>
          <w:sz w:val="22"/>
          <w:szCs w:val="22"/>
        </w:rPr>
        <w:t>Belline</w:t>
      </w:r>
      <w:proofErr w:type="spellEnd"/>
    </w:p>
    <w:p w14:paraId="334134D3" w14:textId="77777777" w:rsidR="00EA2DD4" w:rsidRDefault="00000000" w:rsidP="00AA1B21">
      <w:pPr>
        <w:spacing w:after="100"/>
        <w:jc w:val="both"/>
      </w:pPr>
      <w:r>
        <w:rPr>
          <w:rFonts w:ascii="Calibri" w:eastAsia="Calibri" w:hAnsi="Calibri" w:cs="Calibri"/>
        </w:rPr>
        <w:t>Općina Ston zahvaljuje podnositelju na iscrpnoj i argumentiranoj analizi nacrta Odluke. Velika većina primjedbi ocijenjena je osnovanom te je nacrt Odluke temeljem njih znatno izmijenjen, prvenstveno u dijelu koji uređuje pravo ulaska stanovnika bez vlasništva nekretnine (novi članak 3.a), uvjete za odbijanje zahtjeva zbog dugovanja (članak 9.) te redoslijed prioriteta pri dodjeli i licitaciji parkirnih mjesta (članci 15., 19. i 20.).</w:t>
      </w:r>
    </w:p>
    <w:p w14:paraId="67945C57" w14:textId="4DDC4031" w:rsidR="00EA2DD4" w:rsidRDefault="00000000" w:rsidP="00AA1B21">
      <w:pPr>
        <w:spacing w:after="100"/>
        <w:jc w:val="both"/>
      </w:pPr>
      <w:r>
        <w:rPr>
          <w:rFonts w:ascii="Calibri" w:eastAsia="Calibri" w:hAnsi="Calibri" w:cs="Calibri"/>
        </w:rPr>
        <w:t xml:space="preserve">Prije </w:t>
      </w:r>
      <w:r w:rsidR="00AA1B21">
        <w:rPr>
          <w:rFonts w:ascii="Calibri" w:eastAsia="Calibri" w:hAnsi="Calibri" w:cs="Calibri"/>
        </w:rPr>
        <w:t>donošenja Odluke na općinskom vijeću</w:t>
      </w:r>
      <w:r>
        <w:rPr>
          <w:rFonts w:ascii="Calibri" w:eastAsia="Calibri" w:hAnsi="Calibri" w:cs="Calibri"/>
        </w:rPr>
        <w:t>, dokumentacijski popis iz članka 8. bit će dodatno terminološki usklađen s ostalim odredbama Odluke koje uređuju pravo ulaska stanovnika bez vlasništva, kako ne bi ostala prostor za tumačenje suprotno namjeri Odluke.</w:t>
      </w:r>
    </w:p>
    <w:p w14:paraId="41A75FB4" w14:textId="77777777" w:rsidR="00EA2DD4" w:rsidRDefault="00000000">
      <w:pPr>
        <w:spacing w:before="400" w:after="80"/>
      </w:pPr>
      <w:r>
        <w:rPr>
          <w:rFonts w:ascii="Calibri" w:eastAsia="Calibri" w:hAnsi="Calibri" w:cs="Calibri"/>
          <w:b/>
          <w:bCs/>
          <w:sz w:val="22"/>
          <w:szCs w:val="22"/>
        </w:rPr>
        <w:t>2. Podnositelji: Općinski vijećnici Nezavisne liste Đura Bilića (Đuro Bilić, Damir Đuračić, Toni Franković-Žile) i Mjesni odbor Ston</w:t>
      </w:r>
    </w:p>
    <w:p w14:paraId="4D0F5E06" w14:textId="77777777" w:rsidR="00EA2DD4" w:rsidRDefault="00000000">
      <w:pPr>
        <w:spacing w:after="200"/>
      </w:pPr>
      <w:r>
        <w:rPr>
          <w:rFonts w:ascii="Calibri" w:eastAsia="Calibri" w:hAnsi="Calibri" w:cs="Calibri"/>
          <w:i/>
          <w:iCs/>
        </w:rPr>
        <w:t>Osoba koja je sastavljala primjedbe: Toni Franković-Žile · Datum zaprimanja obrasca: 02.06.2026.</w:t>
      </w:r>
    </w:p>
    <w:tbl>
      <w:tblPr>
        <w:tblW w:w="11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500"/>
        <w:gridCol w:w="3000"/>
        <w:gridCol w:w="1700"/>
        <w:gridCol w:w="5900"/>
      </w:tblGrid>
      <w:tr w:rsidR="00EA2DD4" w14:paraId="78874BE5" w14:textId="77777777">
        <w:tblPrEx>
          <w:tblCellMar>
            <w:top w:w="0" w:type="dxa"/>
            <w:bottom w:w="0" w:type="dxa"/>
          </w:tblCellMar>
        </w:tblPrEx>
        <w:trPr>
          <w:tblHeader/>
        </w:trPr>
        <w:tc>
          <w:tcPr>
            <w:tcW w:w="500" w:type="dxa"/>
            <w:shd w:val="clear" w:color="auto" w:fill="1F3864"/>
            <w:tcMar>
              <w:top w:w="100" w:type="dxa"/>
              <w:left w:w="120" w:type="dxa"/>
              <w:bottom w:w="100" w:type="dxa"/>
              <w:right w:w="120" w:type="dxa"/>
            </w:tcMar>
            <w:vAlign w:val="center"/>
          </w:tcPr>
          <w:p w14:paraId="6196D9A7" w14:textId="77777777" w:rsidR="00EA2DD4" w:rsidRDefault="00000000">
            <w:r>
              <w:rPr>
                <w:rFonts w:ascii="Calibri" w:eastAsia="Calibri" w:hAnsi="Calibri" w:cs="Calibri"/>
                <w:b/>
                <w:bCs/>
                <w:color w:val="FFFFFF"/>
              </w:rPr>
              <w:t>Br.</w:t>
            </w:r>
          </w:p>
        </w:tc>
        <w:tc>
          <w:tcPr>
            <w:tcW w:w="3000" w:type="dxa"/>
            <w:shd w:val="clear" w:color="auto" w:fill="1F3864"/>
            <w:tcMar>
              <w:top w:w="100" w:type="dxa"/>
              <w:left w:w="120" w:type="dxa"/>
              <w:bottom w:w="100" w:type="dxa"/>
              <w:right w:w="120" w:type="dxa"/>
            </w:tcMar>
            <w:vAlign w:val="center"/>
          </w:tcPr>
          <w:p w14:paraId="7328D4D3" w14:textId="77777777" w:rsidR="00EA2DD4" w:rsidRDefault="00000000">
            <w:r>
              <w:rPr>
                <w:rFonts w:ascii="Calibri" w:eastAsia="Calibri" w:hAnsi="Calibri" w:cs="Calibri"/>
                <w:b/>
                <w:bCs/>
                <w:color w:val="FFFFFF"/>
              </w:rPr>
              <w:t>Sažetak primjedbe</w:t>
            </w:r>
          </w:p>
        </w:tc>
        <w:tc>
          <w:tcPr>
            <w:tcW w:w="1700" w:type="dxa"/>
            <w:shd w:val="clear" w:color="auto" w:fill="1F3864"/>
            <w:tcMar>
              <w:top w:w="100" w:type="dxa"/>
              <w:left w:w="120" w:type="dxa"/>
              <w:bottom w:w="100" w:type="dxa"/>
              <w:right w:w="120" w:type="dxa"/>
            </w:tcMar>
            <w:vAlign w:val="center"/>
          </w:tcPr>
          <w:p w14:paraId="007997D8" w14:textId="77777777" w:rsidR="00EA2DD4" w:rsidRDefault="00000000">
            <w:r>
              <w:rPr>
                <w:rFonts w:ascii="Calibri" w:eastAsia="Calibri" w:hAnsi="Calibri" w:cs="Calibri"/>
                <w:b/>
                <w:bCs/>
                <w:color w:val="FFFFFF"/>
              </w:rPr>
              <w:t>Status</w:t>
            </w:r>
          </w:p>
        </w:tc>
        <w:tc>
          <w:tcPr>
            <w:tcW w:w="5900" w:type="dxa"/>
            <w:shd w:val="clear" w:color="auto" w:fill="1F3864"/>
            <w:tcMar>
              <w:top w:w="100" w:type="dxa"/>
              <w:left w:w="120" w:type="dxa"/>
              <w:bottom w:w="100" w:type="dxa"/>
              <w:right w:w="120" w:type="dxa"/>
            </w:tcMar>
            <w:vAlign w:val="center"/>
          </w:tcPr>
          <w:p w14:paraId="53C2F03E" w14:textId="77777777" w:rsidR="00EA2DD4" w:rsidRDefault="00000000">
            <w:r>
              <w:rPr>
                <w:rFonts w:ascii="Calibri" w:eastAsia="Calibri" w:hAnsi="Calibri" w:cs="Calibri"/>
                <w:b/>
                <w:bCs/>
                <w:color w:val="FFFFFF"/>
              </w:rPr>
              <w:t>Obrazloženje</w:t>
            </w:r>
          </w:p>
        </w:tc>
      </w:tr>
      <w:tr w:rsidR="00EA2DD4" w14:paraId="45B06964" w14:textId="77777777">
        <w:tblPrEx>
          <w:tblCellMar>
            <w:top w:w="0" w:type="dxa"/>
            <w:bottom w:w="0" w:type="dxa"/>
          </w:tblCellMar>
        </w:tblPrEx>
        <w:tc>
          <w:tcPr>
            <w:tcW w:w="500" w:type="dxa"/>
            <w:tcMar>
              <w:top w:w="100" w:type="dxa"/>
              <w:left w:w="120" w:type="dxa"/>
              <w:bottom w:w="100" w:type="dxa"/>
              <w:right w:w="120" w:type="dxa"/>
            </w:tcMar>
          </w:tcPr>
          <w:p w14:paraId="79777F88" w14:textId="77777777" w:rsidR="00EA2DD4" w:rsidRDefault="00000000">
            <w:pPr>
              <w:spacing w:after="80"/>
            </w:pPr>
            <w:r>
              <w:rPr>
                <w:rFonts w:ascii="Calibri" w:eastAsia="Calibri" w:hAnsi="Calibri" w:cs="Calibri"/>
              </w:rPr>
              <w:t>1.</w:t>
            </w:r>
          </w:p>
        </w:tc>
        <w:tc>
          <w:tcPr>
            <w:tcW w:w="3000" w:type="dxa"/>
            <w:tcMar>
              <w:top w:w="100" w:type="dxa"/>
              <w:left w:w="120" w:type="dxa"/>
              <w:bottom w:w="100" w:type="dxa"/>
              <w:right w:w="120" w:type="dxa"/>
            </w:tcMar>
          </w:tcPr>
          <w:p w14:paraId="7864819C" w14:textId="77777777" w:rsidR="00EA2DD4" w:rsidRDefault="00000000">
            <w:pPr>
              <w:spacing w:after="80"/>
            </w:pPr>
            <w:r>
              <w:rPr>
                <w:rFonts w:ascii="Calibri" w:eastAsia="Calibri" w:hAnsi="Calibri" w:cs="Calibri"/>
              </w:rPr>
              <w:t>Čl. 11. - diferenciran broj dozvoljenih ulazaka u jezgru prema kategoriji korisnika (5x dnevno za stanovnike, 2x za pravne osobe/vlasnike bez prijave)</w:t>
            </w:r>
          </w:p>
        </w:tc>
        <w:tc>
          <w:tcPr>
            <w:tcW w:w="1700" w:type="dxa"/>
            <w:shd w:val="clear" w:color="auto" w:fill="FCE4E4"/>
            <w:tcMar>
              <w:top w:w="100" w:type="dxa"/>
              <w:left w:w="120" w:type="dxa"/>
              <w:bottom w:w="100" w:type="dxa"/>
              <w:right w:w="120" w:type="dxa"/>
            </w:tcMar>
          </w:tcPr>
          <w:p w14:paraId="42CD2B98" w14:textId="77777777" w:rsidR="00EA2DD4" w:rsidRDefault="00000000">
            <w:pPr>
              <w:spacing w:after="80"/>
            </w:pPr>
            <w:r>
              <w:rPr>
                <w:rFonts w:ascii="Calibri" w:eastAsia="Calibri" w:hAnsi="Calibri" w:cs="Calibri"/>
                <w:b/>
                <w:bCs/>
              </w:rPr>
              <w:t>Ne prihvaća se</w:t>
            </w:r>
          </w:p>
        </w:tc>
        <w:tc>
          <w:tcPr>
            <w:tcW w:w="5900" w:type="dxa"/>
            <w:tcMar>
              <w:top w:w="100" w:type="dxa"/>
              <w:left w:w="120" w:type="dxa"/>
              <w:bottom w:w="100" w:type="dxa"/>
              <w:right w:w="120" w:type="dxa"/>
            </w:tcMar>
          </w:tcPr>
          <w:p w14:paraId="540E2BAD" w14:textId="77777777" w:rsidR="00EA2DD4" w:rsidRDefault="00000000">
            <w:pPr>
              <w:spacing w:after="80"/>
            </w:pPr>
            <w:r>
              <w:rPr>
                <w:rFonts w:ascii="Calibri" w:eastAsia="Calibri" w:hAnsi="Calibri" w:cs="Calibri"/>
              </w:rPr>
              <w:t>Ograničenje od najviše 3 ulaska unutar 24 sata zadržano je kao jedinstveno za sve kategorije korisnika radi tehničke jednostavnosti i dosljednosti automatiziranog sustava kontrole ulaska (čitači registarskih tablica) te prostorne ograničenosti stare jezgre. Uvođenje diferenciranih dnevnih kvota po kategorijama u ovoj je fazi ocijenjeno provedbeno zahtjevnim.</w:t>
            </w:r>
          </w:p>
          <w:p w14:paraId="3EAE744C" w14:textId="77777777" w:rsidR="00EA2DD4" w:rsidRDefault="00000000">
            <w:pPr>
              <w:spacing w:after="80"/>
            </w:pPr>
            <w:r>
              <w:rPr>
                <w:rFonts w:ascii="Calibri" w:eastAsia="Calibri" w:hAnsi="Calibri" w:cs="Calibri"/>
              </w:rPr>
              <w:t>Umjesto brojčane diferencijacije, čl. 11. predviđa da stanovnik kojem je potrebno više od 3 ulaska ili dulje zadržavanje od 30 minuta može podnijeti poseban zahtjev o kojem komunalno-prometni redar odlučuje dopunskim rješenjem. Time se opravdane pojedinačne potrebe (skrb o djeci/starijima, prijevoz tereta, poljoprivredna djelatnost) mogu riješiti kroz redovni upravni postupak, bez potrebe za paušalnim povećanjem kvote za cijelu kategoriju korisnika.</w:t>
            </w:r>
          </w:p>
        </w:tc>
      </w:tr>
      <w:tr w:rsidR="00EA2DD4" w14:paraId="04908CDA" w14:textId="77777777">
        <w:tblPrEx>
          <w:tblCellMar>
            <w:top w:w="0" w:type="dxa"/>
            <w:bottom w:w="0" w:type="dxa"/>
          </w:tblCellMar>
        </w:tblPrEx>
        <w:tc>
          <w:tcPr>
            <w:tcW w:w="500" w:type="dxa"/>
            <w:tcMar>
              <w:top w:w="100" w:type="dxa"/>
              <w:left w:w="120" w:type="dxa"/>
              <w:bottom w:w="100" w:type="dxa"/>
              <w:right w:w="120" w:type="dxa"/>
            </w:tcMar>
          </w:tcPr>
          <w:p w14:paraId="1BC7FCBE" w14:textId="77777777" w:rsidR="00EA2DD4" w:rsidRDefault="00000000">
            <w:pPr>
              <w:spacing w:after="80"/>
            </w:pPr>
            <w:r>
              <w:rPr>
                <w:rFonts w:ascii="Calibri" w:eastAsia="Calibri" w:hAnsi="Calibri" w:cs="Calibri"/>
              </w:rPr>
              <w:t>2.</w:t>
            </w:r>
          </w:p>
        </w:tc>
        <w:tc>
          <w:tcPr>
            <w:tcW w:w="3000" w:type="dxa"/>
            <w:tcMar>
              <w:top w:w="100" w:type="dxa"/>
              <w:left w:w="120" w:type="dxa"/>
              <w:bottom w:w="100" w:type="dxa"/>
              <w:right w:w="120" w:type="dxa"/>
            </w:tcMar>
          </w:tcPr>
          <w:p w14:paraId="6237CF93" w14:textId="77777777" w:rsidR="00EA2DD4" w:rsidRDefault="00000000">
            <w:pPr>
              <w:spacing w:after="80"/>
            </w:pPr>
            <w:r>
              <w:rPr>
                <w:rFonts w:ascii="Calibri" w:eastAsia="Calibri" w:hAnsi="Calibri" w:cs="Calibri"/>
              </w:rPr>
              <w:t>Čl. 18. - prvo rezervirano parkirno mjesto za stalne stanovnike besplatno, licitacija samo za dodatna mjesta</w:t>
            </w:r>
          </w:p>
        </w:tc>
        <w:tc>
          <w:tcPr>
            <w:tcW w:w="1700" w:type="dxa"/>
            <w:shd w:val="clear" w:color="auto" w:fill="FCE4E4"/>
            <w:tcMar>
              <w:top w:w="100" w:type="dxa"/>
              <w:left w:w="120" w:type="dxa"/>
              <w:bottom w:w="100" w:type="dxa"/>
              <w:right w:w="120" w:type="dxa"/>
            </w:tcMar>
          </w:tcPr>
          <w:p w14:paraId="12233058" w14:textId="77777777" w:rsidR="00EA2DD4" w:rsidRDefault="00000000">
            <w:pPr>
              <w:spacing w:after="80"/>
            </w:pPr>
            <w:r>
              <w:rPr>
                <w:rFonts w:ascii="Calibri" w:eastAsia="Calibri" w:hAnsi="Calibri" w:cs="Calibri"/>
                <w:b/>
                <w:bCs/>
              </w:rPr>
              <w:t>Ne prihvaća se u ovoj fazi</w:t>
            </w:r>
          </w:p>
        </w:tc>
        <w:tc>
          <w:tcPr>
            <w:tcW w:w="5900" w:type="dxa"/>
            <w:tcMar>
              <w:top w:w="100" w:type="dxa"/>
              <w:left w:w="120" w:type="dxa"/>
              <w:bottom w:w="100" w:type="dxa"/>
              <w:right w:w="120" w:type="dxa"/>
            </w:tcMar>
          </w:tcPr>
          <w:p w14:paraId="6B024FB2" w14:textId="77777777" w:rsidR="00EA2DD4" w:rsidRDefault="00000000">
            <w:pPr>
              <w:spacing w:after="80"/>
            </w:pPr>
            <w:r>
              <w:rPr>
                <w:rFonts w:ascii="Calibri" w:eastAsia="Calibri" w:hAnsi="Calibri" w:cs="Calibri"/>
              </w:rPr>
              <w:t>Visina naknade za rezervirano parkirno mjesto ostaje kako je utvrđena Prilogom I. ove Odluke. Uvodni dio Priloga I. izričito predviđa da visinu naknada Općinsko vijeće može naknadno izmijeniti posebnom odlukom kojom se mijenja Prilog I., bez potrebe izmjene temeljne Odluke.</w:t>
            </w:r>
          </w:p>
          <w:p w14:paraId="52B8548D" w14:textId="77777777" w:rsidR="00EA2DD4" w:rsidRDefault="00000000">
            <w:pPr>
              <w:spacing w:after="80"/>
            </w:pPr>
            <w:r>
              <w:rPr>
                <w:rFonts w:ascii="Calibri" w:eastAsia="Calibri" w:hAnsi="Calibri" w:cs="Calibri"/>
              </w:rPr>
              <w:t>Prijedlog o oslobađanju stalnih stanovnika od naknade za prvo parkirno mjesto Općina zadržava kao mogućnost za razmatranje upravo u sklopu takve posebne odluke o cjeniku, nakon procjene financijskog učinka na poslovanje Komunalnog društva Ston d.o.o., a ne kroz izmjenu ove Odluke.</w:t>
            </w:r>
          </w:p>
        </w:tc>
      </w:tr>
      <w:tr w:rsidR="00EA2DD4" w14:paraId="2AD16D9B" w14:textId="77777777">
        <w:tblPrEx>
          <w:tblCellMar>
            <w:top w:w="0" w:type="dxa"/>
            <w:bottom w:w="0" w:type="dxa"/>
          </w:tblCellMar>
        </w:tblPrEx>
        <w:tc>
          <w:tcPr>
            <w:tcW w:w="500" w:type="dxa"/>
            <w:tcMar>
              <w:top w:w="100" w:type="dxa"/>
              <w:left w:w="120" w:type="dxa"/>
              <w:bottom w:w="100" w:type="dxa"/>
              <w:right w:w="120" w:type="dxa"/>
            </w:tcMar>
          </w:tcPr>
          <w:p w14:paraId="387842B0" w14:textId="77777777" w:rsidR="00EA2DD4" w:rsidRDefault="00000000">
            <w:pPr>
              <w:spacing w:after="80"/>
            </w:pPr>
            <w:r>
              <w:rPr>
                <w:rFonts w:ascii="Calibri" w:eastAsia="Calibri" w:hAnsi="Calibri" w:cs="Calibri"/>
              </w:rPr>
              <w:t>3.</w:t>
            </w:r>
          </w:p>
        </w:tc>
        <w:tc>
          <w:tcPr>
            <w:tcW w:w="3000" w:type="dxa"/>
            <w:tcMar>
              <w:top w:w="100" w:type="dxa"/>
              <w:left w:w="120" w:type="dxa"/>
              <w:bottom w:w="100" w:type="dxa"/>
              <w:right w:w="120" w:type="dxa"/>
            </w:tcMar>
          </w:tcPr>
          <w:p w14:paraId="78A33C51" w14:textId="77777777" w:rsidR="00EA2DD4" w:rsidRDefault="00000000">
            <w:pPr>
              <w:spacing w:after="80"/>
            </w:pPr>
            <w:r>
              <w:rPr>
                <w:rFonts w:ascii="Calibri" w:eastAsia="Calibri" w:hAnsi="Calibri" w:cs="Calibri"/>
              </w:rPr>
              <w:t>Dodatni prijedlog - periodično (najmanje jednom godišnje) ažuriranje evidencije korisnika parkirnih mjesta</w:t>
            </w:r>
          </w:p>
        </w:tc>
        <w:tc>
          <w:tcPr>
            <w:tcW w:w="1700" w:type="dxa"/>
            <w:shd w:val="clear" w:color="auto" w:fill="FFF2CC"/>
            <w:tcMar>
              <w:top w:w="100" w:type="dxa"/>
              <w:left w:w="120" w:type="dxa"/>
              <w:bottom w:w="100" w:type="dxa"/>
              <w:right w:w="120" w:type="dxa"/>
            </w:tcMar>
          </w:tcPr>
          <w:p w14:paraId="294DDC39" w14:textId="77777777" w:rsidR="00EA2DD4" w:rsidRDefault="00000000">
            <w:pPr>
              <w:spacing w:after="80"/>
            </w:pPr>
            <w:r>
              <w:rPr>
                <w:rFonts w:ascii="Calibri" w:eastAsia="Calibri" w:hAnsi="Calibri" w:cs="Calibri"/>
                <w:b/>
                <w:bCs/>
              </w:rPr>
              <w:t>Djelomično prihvaća se (već predviđeno)</w:t>
            </w:r>
          </w:p>
        </w:tc>
        <w:tc>
          <w:tcPr>
            <w:tcW w:w="5900" w:type="dxa"/>
            <w:tcMar>
              <w:top w:w="100" w:type="dxa"/>
              <w:left w:w="120" w:type="dxa"/>
              <w:bottom w:w="100" w:type="dxa"/>
              <w:right w:w="120" w:type="dxa"/>
            </w:tcMar>
          </w:tcPr>
          <w:p w14:paraId="2B0646A8" w14:textId="77777777" w:rsidR="00EA2DD4" w:rsidRDefault="00000000">
            <w:pPr>
              <w:spacing w:after="80"/>
            </w:pPr>
            <w:r>
              <w:rPr>
                <w:rFonts w:ascii="Calibri" w:eastAsia="Calibri" w:hAnsi="Calibri" w:cs="Calibri"/>
              </w:rPr>
              <w:t>Bit prijedloga već je ugrađena u Odluku. Članak 16. propisuje da se ugovor o zakupu rezerviranog parkirnog mjesta sklapa na rok od godinu dana i vrijedi isključivo za registarsku oznaku/vozilo navedeno u ugovoru, što u praksi znači da se ispunjavanje uvjeta (prebivalište, vlasništvo, vozilo) provjerava najmanje jednom godišnje prilikom obnove ugovora. Posebna dodatna odredba stoga nije potrebna.</w:t>
            </w:r>
          </w:p>
        </w:tc>
      </w:tr>
    </w:tbl>
    <w:p w14:paraId="3F668D3B" w14:textId="77777777" w:rsidR="00EA2DD4" w:rsidRDefault="00000000">
      <w:pPr>
        <w:spacing w:before="300" w:after="100"/>
      </w:pPr>
      <w:r>
        <w:rPr>
          <w:rFonts w:ascii="Calibri" w:eastAsia="Calibri" w:hAnsi="Calibri" w:cs="Calibri"/>
          <w:b/>
          <w:bCs/>
          <w:sz w:val="22"/>
          <w:szCs w:val="22"/>
        </w:rPr>
        <w:lastRenderedPageBreak/>
        <w:t>Zaključna napomena uz primjedbe vijećnika i Mjesnog odbora Ston</w:t>
      </w:r>
    </w:p>
    <w:p w14:paraId="5C44D391" w14:textId="77777777" w:rsidR="00EA2DD4" w:rsidRDefault="00000000">
      <w:pPr>
        <w:spacing w:after="100"/>
      </w:pPr>
      <w:r>
        <w:rPr>
          <w:rFonts w:ascii="Calibri" w:eastAsia="Calibri" w:hAnsi="Calibri" w:cs="Calibri"/>
        </w:rPr>
        <w:t>Općina Ston zahvaljuje podnositeljima na konstruktivnim prijedlozima usmjerenim na svakodnevni život stalnih stanovnika stare jezgre. Prijedlozi o povećanju broja dnevnih ulazaka i besplatnom prvom parkirnom mjestu u ovoj fazi nisu prihvaćeni iz tehničko-provedbenih i financijskih razloga, no Odluka predviđa mehanizme kojima se pojedinačne opravdane potrebe stanovnika mogu riješiti izvan fiksnih kvota (poseban zahtjev i dopunsko rješenje redara), kao i mogućnost da Općinsko vijeće posebnom odlukom naknadno izmijeni cjenik iz Priloga I. bez izmjene temeljne Odluke.</w:t>
      </w:r>
    </w:p>
    <w:p w14:paraId="57755849" w14:textId="77777777" w:rsidR="00EA2DD4" w:rsidRDefault="00000000">
      <w:pPr>
        <w:spacing w:after="100"/>
      </w:pPr>
      <w:r>
        <w:rPr>
          <w:rFonts w:ascii="Calibri" w:eastAsia="Calibri" w:hAnsi="Calibri" w:cs="Calibri"/>
        </w:rPr>
        <w:t>Prijedlog periodične provjere korisnika prava na parkirno mjesto već je sadržan u godišnjem obnavljanju ugovora o zakupu iz članka 16.</w:t>
      </w:r>
    </w:p>
    <w:p w14:paraId="4BC8D6F7" w14:textId="77777777" w:rsidR="00EA2DD4" w:rsidRDefault="00000000">
      <w:pPr>
        <w:spacing w:before="400" w:after="80"/>
      </w:pPr>
      <w:r>
        <w:rPr>
          <w:rFonts w:ascii="Calibri" w:eastAsia="Calibri" w:hAnsi="Calibri" w:cs="Calibri"/>
          <w:b/>
          <w:bCs/>
          <w:sz w:val="22"/>
          <w:szCs w:val="22"/>
        </w:rPr>
        <w:t xml:space="preserve">3. Podnositeljica: Helena </w:t>
      </w:r>
      <w:proofErr w:type="spellStart"/>
      <w:r>
        <w:rPr>
          <w:rFonts w:ascii="Calibri" w:eastAsia="Calibri" w:hAnsi="Calibri" w:cs="Calibri"/>
          <w:b/>
          <w:bCs/>
          <w:sz w:val="22"/>
          <w:szCs w:val="22"/>
        </w:rPr>
        <w:t>Lekaj</w:t>
      </w:r>
      <w:proofErr w:type="spellEnd"/>
    </w:p>
    <w:p w14:paraId="72EB9187" w14:textId="77777777" w:rsidR="00EA2DD4" w:rsidRDefault="00000000">
      <w:pPr>
        <w:spacing w:after="200"/>
      </w:pPr>
      <w:r>
        <w:rPr>
          <w:rFonts w:ascii="Calibri" w:eastAsia="Calibri" w:hAnsi="Calibri" w:cs="Calibri"/>
          <w:i/>
          <w:iCs/>
        </w:rPr>
        <w:t>Kanal dostave: e-pošta (izvan propisanog obrasca) · Datum zaprimanja: 01.06.2026.</w:t>
      </w:r>
    </w:p>
    <w:tbl>
      <w:tblPr>
        <w:tblW w:w="11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500"/>
        <w:gridCol w:w="3000"/>
        <w:gridCol w:w="1700"/>
        <w:gridCol w:w="5900"/>
      </w:tblGrid>
      <w:tr w:rsidR="00EA2DD4" w14:paraId="316F2DC8" w14:textId="77777777">
        <w:tblPrEx>
          <w:tblCellMar>
            <w:top w:w="0" w:type="dxa"/>
            <w:bottom w:w="0" w:type="dxa"/>
          </w:tblCellMar>
        </w:tblPrEx>
        <w:trPr>
          <w:tblHeader/>
        </w:trPr>
        <w:tc>
          <w:tcPr>
            <w:tcW w:w="500" w:type="dxa"/>
            <w:shd w:val="clear" w:color="auto" w:fill="1F3864"/>
            <w:tcMar>
              <w:top w:w="100" w:type="dxa"/>
              <w:left w:w="120" w:type="dxa"/>
              <w:bottom w:w="100" w:type="dxa"/>
              <w:right w:w="120" w:type="dxa"/>
            </w:tcMar>
            <w:vAlign w:val="center"/>
          </w:tcPr>
          <w:p w14:paraId="523AD30A" w14:textId="77777777" w:rsidR="00EA2DD4" w:rsidRDefault="00000000">
            <w:r>
              <w:rPr>
                <w:rFonts w:ascii="Calibri" w:eastAsia="Calibri" w:hAnsi="Calibri" w:cs="Calibri"/>
                <w:b/>
                <w:bCs/>
                <w:color w:val="FFFFFF"/>
              </w:rPr>
              <w:t>Br.</w:t>
            </w:r>
          </w:p>
        </w:tc>
        <w:tc>
          <w:tcPr>
            <w:tcW w:w="3000" w:type="dxa"/>
            <w:shd w:val="clear" w:color="auto" w:fill="1F3864"/>
            <w:tcMar>
              <w:top w:w="100" w:type="dxa"/>
              <w:left w:w="120" w:type="dxa"/>
              <w:bottom w:w="100" w:type="dxa"/>
              <w:right w:w="120" w:type="dxa"/>
            </w:tcMar>
            <w:vAlign w:val="center"/>
          </w:tcPr>
          <w:p w14:paraId="35BF0F29" w14:textId="77777777" w:rsidR="00EA2DD4" w:rsidRDefault="00000000">
            <w:r>
              <w:rPr>
                <w:rFonts w:ascii="Calibri" w:eastAsia="Calibri" w:hAnsi="Calibri" w:cs="Calibri"/>
                <w:b/>
                <w:bCs/>
                <w:color w:val="FFFFFF"/>
              </w:rPr>
              <w:t>Pitanje / primjedba</w:t>
            </w:r>
          </w:p>
        </w:tc>
        <w:tc>
          <w:tcPr>
            <w:tcW w:w="1700" w:type="dxa"/>
            <w:shd w:val="clear" w:color="auto" w:fill="1F3864"/>
            <w:tcMar>
              <w:top w:w="100" w:type="dxa"/>
              <w:left w:w="120" w:type="dxa"/>
              <w:bottom w:w="100" w:type="dxa"/>
              <w:right w:w="120" w:type="dxa"/>
            </w:tcMar>
            <w:vAlign w:val="center"/>
          </w:tcPr>
          <w:p w14:paraId="7DB55A47" w14:textId="77777777" w:rsidR="00EA2DD4" w:rsidRDefault="00000000">
            <w:r>
              <w:rPr>
                <w:rFonts w:ascii="Calibri" w:eastAsia="Calibri" w:hAnsi="Calibri" w:cs="Calibri"/>
                <w:b/>
                <w:bCs/>
                <w:color w:val="FFFFFF"/>
              </w:rPr>
              <w:t>Status</w:t>
            </w:r>
          </w:p>
        </w:tc>
        <w:tc>
          <w:tcPr>
            <w:tcW w:w="5900" w:type="dxa"/>
            <w:shd w:val="clear" w:color="auto" w:fill="1F3864"/>
            <w:tcMar>
              <w:top w:w="100" w:type="dxa"/>
              <w:left w:w="120" w:type="dxa"/>
              <w:bottom w:w="100" w:type="dxa"/>
              <w:right w:w="120" w:type="dxa"/>
            </w:tcMar>
            <w:vAlign w:val="center"/>
          </w:tcPr>
          <w:p w14:paraId="31555373" w14:textId="77777777" w:rsidR="00EA2DD4" w:rsidRDefault="00000000">
            <w:r>
              <w:rPr>
                <w:rFonts w:ascii="Calibri" w:eastAsia="Calibri" w:hAnsi="Calibri" w:cs="Calibri"/>
                <w:b/>
                <w:bCs/>
                <w:color w:val="FFFFFF"/>
              </w:rPr>
              <w:t>Odgovor / obrazloženje</w:t>
            </w:r>
          </w:p>
        </w:tc>
      </w:tr>
      <w:tr w:rsidR="00EA2DD4" w14:paraId="24275BCE" w14:textId="77777777">
        <w:tblPrEx>
          <w:tblCellMar>
            <w:top w:w="0" w:type="dxa"/>
            <w:bottom w:w="0" w:type="dxa"/>
          </w:tblCellMar>
        </w:tblPrEx>
        <w:tc>
          <w:tcPr>
            <w:tcW w:w="500" w:type="dxa"/>
            <w:tcMar>
              <w:top w:w="100" w:type="dxa"/>
              <w:left w:w="120" w:type="dxa"/>
              <w:bottom w:w="100" w:type="dxa"/>
              <w:right w:w="120" w:type="dxa"/>
            </w:tcMar>
          </w:tcPr>
          <w:p w14:paraId="113C24AE" w14:textId="77777777" w:rsidR="00EA2DD4" w:rsidRDefault="00000000">
            <w:pPr>
              <w:spacing w:after="80"/>
            </w:pPr>
            <w:r>
              <w:rPr>
                <w:rFonts w:ascii="Calibri" w:eastAsia="Calibri" w:hAnsi="Calibri" w:cs="Calibri"/>
              </w:rPr>
              <w:t>1.</w:t>
            </w:r>
          </w:p>
        </w:tc>
        <w:tc>
          <w:tcPr>
            <w:tcW w:w="3000" w:type="dxa"/>
            <w:tcMar>
              <w:top w:w="100" w:type="dxa"/>
              <w:left w:w="120" w:type="dxa"/>
              <w:bottom w:w="100" w:type="dxa"/>
              <w:right w:w="120" w:type="dxa"/>
            </w:tcMar>
          </w:tcPr>
          <w:p w14:paraId="4B57E494" w14:textId="77777777" w:rsidR="00EA2DD4" w:rsidRDefault="00000000">
            <w:pPr>
              <w:spacing w:after="80"/>
            </w:pPr>
            <w:r>
              <w:rPr>
                <w:rFonts w:ascii="Calibri" w:eastAsia="Calibri" w:hAnsi="Calibri" w:cs="Calibri"/>
              </w:rPr>
              <w:t>Čl. 10. - upit o razlogu ograničenja na jedno besplatno vozilo po kućanstvu, s obzirom na potrebe kućanstava s više odraslih članova</w:t>
            </w:r>
          </w:p>
        </w:tc>
        <w:tc>
          <w:tcPr>
            <w:tcW w:w="1700" w:type="dxa"/>
            <w:shd w:val="clear" w:color="auto" w:fill="FCE4E4"/>
            <w:tcMar>
              <w:top w:w="100" w:type="dxa"/>
              <w:left w:w="120" w:type="dxa"/>
              <w:bottom w:w="100" w:type="dxa"/>
              <w:right w:w="120" w:type="dxa"/>
            </w:tcMar>
          </w:tcPr>
          <w:p w14:paraId="05E8D28B" w14:textId="77777777" w:rsidR="00EA2DD4" w:rsidRDefault="00000000">
            <w:pPr>
              <w:spacing w:after="80"/>
            </w:pPr>
            <w:r>
              <w:rPr>
                <w:rFonts w:ascii="Calibri" w:eastAsia="Calibri" w:hAnsi="Calibri" w:cs="Calibri"/>
                <w:b/>
                <w:bCs/>
              </w:rPr>
              <w:t>Odgovoreno - izmjena nije potrebna</w:t>
            </w:r>
          </w:p>
        </w:tc>
        <w:tc>
          <w:tcPr>
            <w:tcW w:w="5900" w:type="dxa"/>
            <w:tcMar>
              <w:top w:w="100" w:type="dxa"/>
              <w:left w:w="120" w:type="dxa"/>
              <w:bottom w:w="100" w:type="dxa"/>
              <w:right w:w="120" w:type="dxa"/>
            </w:tcMar>
          </w:tcPr>
          <w:p w14:paraId="4FE1CAA1" w14:textId="281D87B0" w:rsidR="00EA2DD4" w:rsidRDefault="00000000">
            <w:pPr>
              <w:spacing w:after="80"/>
            </w:pPr>
            <w:r>
              <w:rPr>
                <w:rFonts w:ascii="Calibri" w:eastAsia="Calibri" w:hAnsi="Calibri" w:cs="Calibri"/>
              </w:rPr>
              <w:t xml:space="preserve">Riječ je o informativnom upitu, a ne o prijedlogu izmjene teksta. Podnositeljici je pojašnjeno da ograničenje na jedno vozilo bez naknade proizlazi iz ograničenog kapaciteta uličnog koridora stare jezgre, te da ulazak dodatnog vozila nije zabranjen nego se naplaćuje prema cjeniku iz Priloga I. (točka 1.). </w:t>
            </w:r>
          </w:p>
        </w:tc>
      </w:tr>
      <w:tr w:rsidR="00EA2DD4" w14:paraId="57E64A6D" w14:textId="77777777">
        <w:tblPrEx>
          <w:tblCellMar>
            <w:top w:w="0" w:type="dxa"/>
            <w:bottom w:w="0" w:type="dxa"/>
          </w:tblCellMar>
        </w:tblPrEx>
        <w:tc>
          <w:tcPr>
            <w:tcW w:w="500" w:type="dxa"/>
            <w:tcMar>
              <w:top w:w="100" w:type="dxa"/>
              <w:left w:w="120" w:type="dxa"/>
              <w:bottom w:w="100" w:type="dxa"/>
              <w:right w:w="120" w:type="dxa"/>
            </w:tcMar>
          </w:tcPr>
          <w:p w14:paraId="14F9B518" w14:textId="77777777" w:rsidR="00EA2DD4" w:rsidRDefault="00000000">
            <w:pPr>
              <w:spacing w:after="80"/>
            </w:pPr>
            <w:r>
              <w:rPr>
                <w:rFonts w:ascii="Calibri" w:eastAsia="Calibri" w:hAnsi="Calibri" w:cs="Calibri"/>
              </w:rPr>
              <w:t>2.</w:t>
            </w:r>
          </w:p>
        </w:tc>
        <w:tc>
          <w:tcPr>
            <w:tcW w:w="3000" w:type="dxa"/>
            <w:tcMar>
              <w:top w:w="100" w:type="dxa"/>
              <w:left w:w="120" w:type="dxa"/>
              <w:bottom w:w="100" w:type="dxa"/>
              <w:right w:w="120" w:type="dxa"/>
            </w:tcMar>
          </w:tcPr>
          <w:p w14:paraId="4AA52998" w14:textId="77777777" w:rsidR="00EA2DD4" w:rsidRDefault="00000000">
            <w:pPr>
              <w:spacing w:after="80"/>
            </w:pPr>
            <w:r>
              <w:rPr>
                <w:rFonts w:ascii="Calibri" w:eastAsia="Calibri" w:hAnsi="Calibri" w:cs="Calibri"/>
              </w:rPr>
              <w:t>Čl. 11. - upit o kriterijima za ocjenu opravdanosti zadržavanja duljeg od 30 minuta i više od 3 ulaska dnevno</w:t>
            </w:r>
          </w:p>
        </w:tc>
        <w:tc>
          <w:tcPr>
            <w:tcW w:w="1700" w:type="dxa"/>
            <w:shd w:val="clear" w:color="auto" w:fill="FCE4E4"/>
            <w:tcMar>
              <w:top w:w="100" w:type="dxa"/>
              <w:left w:w="120" w:type="dxa"/>
              <w:bottom w:w="100" w:type="dxa"/>
              <w:right w:w="120" w:type="dxa"/>
            </w:tcMar>
          </w:tcPr>
          <w:p w14:paraId="3D3977D2" w14:textId="77777777" w:rsidR="00EA2DD4" w:rsidRDefault="00000000">
            <w:pPr>
              <w:spacing w:after="80"/>
            </w:pPr>
            <w:r>
              <w:rPr>
                <w:rFonts w:ascii="Calibri" w:eastAsia="Calibri" w:hAnsi="Calibri" w:cs="Calibri"/>
                <w:b/>
                <w:bCs/>
              </w:rPr>
              <w:t>Odgovoreno - mehanizam već postoji u nacrtu</w:t>
            </w:r>
          </w:p>
        </w:tc>
        <w:tc>
          <w:tcPr>
            <w:tcW w:w="5900" w:type="dxa"/>
            <w:tcMar>
              <w:top w:w="100" w:type="dxa"/>
              <w:left w:w="120" w:type="dxa"/>
              <w:bottom w:w="100" w:type="dxa"/>
              <w:right w:w="120" w:type="dxa"/>
            </w:tcMar>
          </w:tcPr>
          <w:p w14:paraId="60B697B1" w14:textId="77777777" w:rsidR="00EA2DD4" w:rsidRDefault="00000000">
            <w:pPr>
              <w:spacing w:after="80"/>
            </w:pPr>
            <w:r>
              <w:rPr>
                <w:rFonts w:ascii="Calibri" w:eastAsia="Calibri" w:hAnsi="Calibri" w:cs="Calibri"/>
              </w:rPr>
              <w:t>Pojašnjeno je da Odluka ne propisuje fiksne brojčane kriterije, nego predviđa da o zahtjevu za iznimku (dulje zadržavanje ili dodatni ulasci) odlučuje komunalno-prometni redar pojedinačnim dopunskim rješenjem, uz pravo žalbe sukladno članku 9. Time se osigurava fleksibilnost i pravna zaštita bez propisivanja krutih pragova unaprijed.</w:t>
            </w:r>
          </w:p>
        </w:tc>
      </w:tr>
      <w:tr w:rsidR="00EA2DD4" w14:paraId="58E47652" w14:textId="77777777">
        <w:tblPrEx>
          <w:tblCellMar>
            <w:top w:w="0" w:type="dxa"/>
            <w:bottom w:w="0" w:type="dxa"/>
          </w:tblCellMar>
        </w:tblPrEx>
        <w:tc>
          <w:tcPr>
            <w:tcW w:w="500" w:type="dxa"/>
            <w:tcMar>
              <w:top w:w="100" w:type="dxa"/>
              <w:left w:w="120" w:type="dxa"/>
              <w:bottom w:w="100" w:type="dxa"/>
              <w:right w:w="120" w:type="dxa"/>
            </w:tcMar>
          </w:tcPr>
          <w:p w14:paraId="38C20B5E" w14:textId="77777777" w:rsidR="00EA2DD4" w:rsidRDefault="00000000">
            <w:pPr>
              <w:spacing w:after="80"/>
            </w:pPr>
            <w:r>
              <w:rPr>
                <w:rFonts w:ascii="Calibri" w:eastAsia="Calibri" w:hAnsi="Calibri" w:cs="Calibri"/>
              </w:rPr>
              <w:t>3.</w:t>
            </w:r>
          </w:p>
        </w:tc>
        <w:tc>
          <w:tcPr>
            <w:tcW w:w="3000" w:type="dxa"/>
            <w:tcMar>
              <w:top w:w="100" w:type="dxa"/>
              <w:left w:w="120" w:type="dxa"/>
              <w:bottom w:w="100" w:type="dxa"/>
              <w:right w:w="120" w:type="dxa"/>
            </w:tcMar>
          </w:tcPr>
          <w:p w14:paraId="073AF1D7" w14:textId="77777777" w:rsidR="00EA2DD4" w:rsidRDefault="00000000">
            <w:pPr>
              <w:spacing w:after="80"/>
            </w:pPr>
            <w:r>
              <w:rPr>
                <w:rFonts w:ascii="Calibri" w:eastAsia="Calibri" w:hAnsi="Calibri" w:cs="Calibri"/>
              </w:rPr>
              <w:t>Upit o postupku za građevinske radove, servisere i majstore koji dolaze bez dugotrajne najave, često isti dan</w:t>
            </w:r>
          </w:p>
        </w:tc>
        <w:tc>
          <w:tcPr>
            <w:tcW w:w="1700" w:type="dxa"/>
            <w:shd w:val="clear" w:color="auto" w:fill="FFF2CC"/>
            <w:tcMar>
              <w:top w:w="100" w:type="dxa"/>
              <w:left w:w="120" w:type="dxa"/>
              <w:bottom w:w="100" w:type="dxa"/>
              <w:right w:w="120" w:type="dxa"/>
            </w:tcMar>
          </w:tcPr>
          <w:p w14:paraId="7B5C6CAA" w14:textId="77777777" w:rsidR="00EA2DD4" w:rsidRDefault="00000000">
            <w:pPr>
              <w:spacing w:after="80"/>
            </w:pPr>
            <w:r>
              <w:rPr>
                <w:rFonts w:ascii="Calibri" w:eastAsia="Calibri" w:hAnsi="Calibri" w:cs="Calibri"/>
                <w:b/>
                <w:bCs/>
              </w:rPr>
              <w:t>Djelomično prihvaća se - razmotrit će se naknadno</w:t>
            </w:r>
          </w:p>
        </w:tc>
        <w:tc>
          <w:tcPr>
            <w:tcW w:w="5900" w:type="dxa"/>
            <w:tcMar>
              <w:top w:w="100" w:type="dxa"/>
              <w:left w:w="120" w:type="dxa"/>
              <w:bottom w:w="100" w:type="dxa"/>
              <w:right w:w="120" w:type="dxa"/>
            </w:tcMar>
          </w:tcPr>
          <w:p w14:paraId="23C1B25E" w14:textId="77777777" w:rsidR="00EA2DD4" w:rsidRDefault="00000000">
            <w:pPr>
              <w:spacing w:after="80"/>
            </w:pPr>
            <w:r>
              <w:rPr>
                <w:rFonts w:ascii="Calibri" w:eastAsia="Calibri" w:hAnsi="Calibri" w:cs="Calibri"/>
              </w:rPr>
              <w:t>Primjedba je ocijenjena osnovanom. Trenutna verzija nacrta ne sadrži poseban ubrzani postupak za kratkotrajne, unaprijed teško predvidive intervencije te se takvi slučajevi rješavaju kroz redovni postupak zahtjeva investitora/vlasnika nekretnine (čl. 8.). Općina će razmotriti uvođenje pojednostavljenog obrasca odnosno operativne upute Komunalnog društva Ston d.o.o. za ovakve situacije, izvan okvira ove Odluke.</w:t>
            </w:r>
          </w:p>
        </w:tc>
      </w:tr>
      <w:tr w:rsidR="00EA2DD4" w14:paraId="52E5E8C3" w14:textId="77777777">
        <w:tblPrEx>
          <w:tblCellMar>
            <w:top w:w="0" w:type="dxa"/>
            <w:bottom w:w="0" w:type="dxa"/>
          </w:tblCellMar>
        </w:tblPrEx>
        <w:tc>
          <w:tcPr>
            <w:tcW w:w="500" w:type="dxa"/>
            <w:tcMar>
              <w:top w:w="100" w:type="dxa"/>
              <w:left w:w="120" w:type="dxa"/>
              <w:bottom w:w="100" w:type="dxa"/>
              <w:right w:w="120" w:type="dxa"/>
            </w:tcMar>
          </w:tcPr>
          <w:p w14:paraId="4F9C0E24" w14:textId="77777777" w:rsidR="00EA2DD4" w:rsidRDefault="00000000">
            <w:pPr>
              <w:spacing w:after="80"/>
            </w:pPr>
            <w:r>
              <w:rPr>
                <w:rFonts w:ascii="Calibri" w:eastAsia="Calibri" w:hAnsi="Calibri" w:cs="Calibri"/>
              </w:rPr>
              <w:t>4.</w:t>
            </w:r>
          </w:p>
        </w:tc>
        <w:tc>
          <w:tcPr>
            <w:tcW w:w="3000" w:type="dxa"/>
            <w:tcMar>
              <w:top w:w="100" w:type="dxa"/>
              <w:left w:w="120" w:type="dxa"/>
              <w:bottom w:w="100" w:type="dxa"/>
              <w:right w:w="120" w:type="dxa"/>
            </w:tcMar>
          </w:tcPr>
          <w:p w14:paraId="30D75990" w14:textId="77777777" w:rsidR="00EA2DD4" w:rsidRDefault="00000000">
            <w:pPr>
              <w:spacing w:after="80"/>
            </w:pPr>
            <w:r>
              <w:rPr>
                <w:rFonts w:ascii="Calibri" w:eastAsia="Calibri" w:hAnsi="Calibri" w:cs="Calibri"/>
              </w:rPr>
              <w:t>Čl. 19. i 20. - upit o načinu provedbe licitacije za parkirna mjesta ("tko ponudi više")</w:t>
            </w:r>
          </w:p>
        </w:tc>
        <w:tc>
          <w:tcPr>
            <w:tcW w:w="1700" w:type="dxa"/>
            <w:shd w:val="clear" w:color="auto" w:fill="FCE4E4"/>
            <w:tcMar>
              <w:top w:w="100" w:type="dxa"/>
              <w:left w:w="120" w:type="dxa"/>
              <w:bottom w:w="100" w:type="dxa"/>
              <w:right w:w="120" w:type="dxa"/>
            </w:tcMar>
          </w:tcPr>
          <w:p w14:paraId="5093C506" w14:textId="77777777" w:rsidR="00EA2DD4" w:rsidRDefault="00000000">
            <w:pPr>
              <w:spacing w:after="80"/>
            </w:pPr>
            <w:r>
              <w:rPr>
                <w:rFonts w:ascii="Calibri" w:eastAsia="Calibri" w:hAnsi="Calibri" w:cs="Calibri"/>
                <w:b/>
                <w:bCs/>
              </w:rPr>
              <w:t>Odgovoreno - izmjena nije potrebna</w:t>
            </w:r>
          </w:p>
        </w:tc>
        <w:tc>
          <w:tcPr>
            <w:tcW w:w="5900" w:type="dxa"/>
            <w:tcMar>
              <w:top w:w="100" w:type="dxa"/>
              <w:left w:w="120" w:type="dxa"/>
              <w:bottom w:w="100" w:type="dxa"/>
              <w:right w:w="120" w:type="dxa"/>
            </w:tcMar>
          </w:tcPr>
          <w:p w14:paraId="4FFA5D9B" w14:textId="77777777" w:rsidR="00EA2DD4" w:rsidRDefault="00000000">
            <w:pPr>
              <w:spacing w:after="80"/>
            </w:pPr>
            <w:r>
              <w:rPr>
                <w:rFonts w:ascii="Calibri" w:eastAsia="Calibri" w:hAnsi="Calibri" w:cs="Calibri"/>
              </w:rPr>
              <w:t>Potvrđeno je da se, kada broj zainteresiranih premaši broj slobodnih mjesta preostalih nakon primjene liste prioriteta iz čl. 19., provodi javna licitacija u dva kruga s početnom cijenom jednakom godišnjoj naknadi iz Priloga I., a mjesto se dodjeljuje najvišoj ponudi. Podnositeljici je dodatno pojašnjeno da licitacija dolazi na red tek nakon što su zadovoljene potrebe stvarnih stanovnika jezgre (prve dvije kategorije prioriteta iz čl. 19.).</w:t>
            </w:r>
          </w:p>
        </w:tc>
      </w:tr>
      <w:tr w:rsidR="00EA2DD4" w14:paraId="36501BAF" w14:textId="77777777">
        <w:tblPrEx>
          <w:tblCellMar>
            <w:top w:w="0" w:type="dxa"/>
            <w:bottom w:w="0" w:type="dxa"/>
          </w:tblCellMar>
        </w:tblPrEx>
        <w:tc>
          <w:tcPr>
            <w:tcW w:w="500" w:type="dxa"/>
            <w:tcMar>
              <w:top w:w="100" w:type="dxa"/>
              <w:left w:w="120" w:type="dxa"/>
              <w:bottom w:w="100" w:type="dxa"/>
              <w:right w:w="120" w:type="dxa"/>
            </w:tcMar>
          </w:tcPr>
          <w:p w14:paraId="591F586E" w14:textId="77777777" w:rsidR="00EA2DD4" w:rsidRDefault="00000000">
            <w:pPr>
              <w:spacing w:after="80"/>
            </w:pPr>
            <w:r>
              <w:rPr>
                <w:rFonts w:ascii="Calibri" w:eastAsia="Calibri" w:hAnsi="Calibri" w:cs="Calibri"/>
              </w:rPr>
              <w:t>5.</w:t>
            </w:r>
          </w:p>
        </w:tc>
        <w:tc>
          <w:tcPr>
            <w:tcW w:w="3000" w:type="dxa"/>
            <w:tcMar>
              <w:top w:w="100" w:type="dxa"/>
              <w:left w:w="120" w:type="dxa"/>
              <w:bottom w:w="100" w:type="dxa"/>
              <w:right w:w="120" w:type="dxa"/>
            </w:tcMar>
          </w:tcPr>
          <w:p w14:paraId="22905AC4" w14:textId="77777777" w:rsidR="00EA2DD4" w:rsidRDefault="00000000">
            <w:pPr>
              <w:spacing w:after="80"/>
            </w:pPr>
            <w:r>
              <w:rPr>
                <w:rFonts w:ascii="Calibri" w:eastAsia="Calibri" w:hAnsi="Calibri" w:cs="Calibri"/>
              </w:rPr>
              <w:t>Primjedba na dugotrajno zauzimanje parkirnih mjesta/ulica od strane pojedinaca (provedbeni problem, ne normativni)</w:t>
            </w:r>
          </w:p>
        </w:tc>
        <w:tc>
          <w:tcPr>
            <w:tcW w:w="1700" w:type="dxa"/>
            <w:shd w:val="clear" w:color="auto" w:fill="FCE4E4"/>
            <w:tcMar>
              <w:top w:w="100" w:type="dxa"/>
              <w:left w:w="120" w:type="dxa"/>
              <w:bottom w:w="100" w:type="dxa"/>
              <w:right w:w="120" w:type="dxa"/>
            </w:tcMar>
          </w:tcPr>
          <w:p w14:paraId="16F6CCC6" w14:textId="77777777" w:rsidR="00EA2DD4" w:rsidRDefault="00000000">
            <w:pPr>
              <w:spacing w:after="80"/>
            </w:pPr>
            <w:r>
              <w:rPr>
                <w:rFonts w:ascii="Calibri" w:eastAsia="Calibri" w:hAnsi="Calibri" w:cs="Calibri"/>
                <w:b/>
                <w:bCs/>
              </w:rPr>
              <w:t>Primljeno na znanje</w:t>
            </w:r>
          </w:p>
        </w:tc>
        <w:tc>
          <w:tcPr>
            <w:tcW w:w="5900" w:type="dxa"/>
            <w:tcMar>
              <w:top w:w="100" w:type="dxa"/>
              <w:left w:w="120" w:type="dxa"/>
              <w:bottom w:w="100" w:type="dxa"/>
              <w:right w:w="120" w:type="dxa"/>
            </w:tcMar>
          </w:tcPr>
          <w:p w14:paraId="151A8AEB" w14:textId="77777777" w:rsidR="00EA2DD4" w:rsidRDefault="00000000">
            <w:pPr>
              <w:spacing w:after="80"/>
            </w:pPr>
            <w:r>
              <w:rPr>
                <w:rFonts w:ascii="Calibri" w:eastAsia="Calibri" w:hAnsi="Calibri" w:cs="Calibri"/>
              </w:rPr>
              <w:t>Općina dijeli ocjenu da je riječ o stvarnom problemu koji zahtijeva redoviti teren­ski nadzor komunalno-prometnog redara, a ne isključivo postupanje po prijavi. Uvođenjem sustava kontrole ulaska i ograničenja zadržavanja na 30 minuta cilja se upravo na takve slučajeve; izmjena teksta Odluke nije bila potrebna.</w:t>
            </w:r>
          </w:p>
        </w:tc>
      </w:tr>
    </w:tbl>
    <w:p w14:paraId="3A42D8E6" w14:textId="77777777" w:rsidR="00EA2DD4" w:rsidRDefault="00000000">
      <w:pPr>
        <w:spacing w:before="300" w:after="100"/>
      </w:pPr>
      <w:r>
        <w:rPr>
          <w:rFonts w:ascii="Calibri" w:eastAsia="Calibri" w:hAnsi="Calibri" w:cs="Calibri"/>
          <w:b/>
          <w:bCs/>
          <w:sz w:val="22"/>
          <w:szCs w:val="22"/>
        </w:rPr>
        <w:t xml:space="preserve">Napomena uz upit gđe </w:t>
      </w:r>
      <w:proofErr w:type="spellStart"/>
      <w:r>
        <w:rPr>
          <w:rFonts w:ascii="Calibri" w:eastAsia="Calibri" w:hAnsi="Calibri" w:cs="Calibri"/>
          <w:b/>
          <w:bCs/>
          <w:sz w:val="22"/>
          <w:szCs w:val="22"/>
        </w:rPr>
        <w:t>Lekaj</w:t>
      </w:r>
      <w:proofErr w:type="spellEnd"/>
    </w:p>
    <w:p w14:paraId="3187BE9B" w14:textId="77777777" w:rsidR="00EA2DD4" w:rsidRDefault="00000000" w:rsidP="00AA1B21">
      <w:pPr>
        <w:spacing w:after="100"/>
        <w:jc w:val="both"/>
      </w:pPr>
      <w:r>
        <w:rPr>
          <w:rFonts w:ascii="Calibri" w:eastAsia="Calibri" w:hAnsi="Calibri" w:cs="Calibri"/>
        </w:rPr>
        <w:t>Dopis je pretežito sadržavao upite radi razumijevanja praktične primjene nacrta Odluke, a ne konkretne prijedloge izmjene teksta, stoga je odgovoreno izravno podnositeljici e-poštom. Jedina konkretna sugestija - uvođenje pojednostavljenog postupka za kratkotrajne, unaprijed teško predvidive intervencije (serviseri, majstori) - zabilježena je za daljnje razmatranje u operativnoj provedbi Odluke.</w:t>
      </w:r>
    </w:p>
    <w:p w14:paraId="3FA80BFD" w14:textId="77777777" w:rsidR="00EA2DD4" w:rsidRDefault="00000000">
      <w:pPr>
        <w:spacing w:before="400" w:after="80"/>
      </w:pPr>
      <w:r>
        <w:rPr>
          <w:rFonts w:ascii="Calibri" w:eastAsia="Calibri" w:hAnsi="Calibri" w:cs="Calibri"/>
          <w:b/>
          <w:bCs/>
          <w:sz w:val="22"/>
          <w:szCs w:val="22"/>
        </w:rPr>
        <w:t>4. Podnositeljica: Ivanka Margeta</w:t>
      </w:r>
    </w:p>
    <w:p w14:paraId="2CE0ADEC" w14:textId="77777777" w:rsidR="00EA2DD4" w:rsidRDefault="00000000">
      <w:pPr>
        <w:spacing w:after="200"/>
      </w:pPr>
      <w:r>
        <w:rPr>
          <w:rFonts w:ascii="Calibri" w:eastAsia="Calibri" w:hAnsi="Calibri" w:cs="Calibri"/>
          <w:i/>
          <w:iCs/>
        </w:rPr>
        <w:lastRenderedPageBreak/>
        <w:t>Kanal dostave: e-pošta (izvan propisanog obrasca) · Datum zaprimanja: 29.05.2026.</w:t>
      </w:r>
    </w:p>
    <w:tbl>
      <w:tblPr>
        <w:tblW w:w="11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500"/>
        <w:gridCol w:w="3000"/>
        <w:gridCol w:w="1700"/>
        <w:gridCol w:w="5900"/>
      </w:tblGrid>
      <w:tr w:rsidR="00EA2DD4" w14:paraId="77E898C3" w14:textId="77777777">
        <w:tblPrEx>
          <w:tblCellMar>
            <w:top w:w="0" w:type="dxa"/>
            <w:bottom w:w="0" w:type="dxa"/>
          </w:tblCellMar>
        </w:tblPrEx>
        <w:trPr>
          <w:tblHeader/>
        </w:trPr>
        <w:tc>
          <w:tcPr>
            <w:tcW w:w="500" w:type="dxa"/>
            <w:shd w:val="clear" w:color="auto" w:fill="1F3864"/>
            <w:tcMar>
              <w:top w:w="100" w:type="dxa"/>
              <w:left w:w="120" w:type="dxa"/>
              <w:bottom w:w="100" w:type="dxa"/>
              <w:right w:w="120" w:type="dxa"/>
            </w:tcMar>
            <w:vAlign w:val="center"/>
          </w:tcPr>
          <w:p w14:paraId="427CF560" w14:textId="77777777" w:rsidR="00EA2DD4" w:rsidRDefault="00000000">
            <w:r>
              <w:rPr>
                <w:rFonts w:ascii="Calibri" w:eastAsia="Calibri" w:hAnsi="Calibri" w:cs="Calibri"/>
                <w:b/>
                <w:bCs/>
                <w:color w:val="FFFFFF"/>
              </w:rPr>
              <w:t>Br.</w:t>
            </w:r>
          </w:p>
        </w:tc>
        <w:tc>
          <w:tcPr>
            <w:tcW w:w="3000" w:type="dxa"/>
            <w:shd w:val="clear" w:color="auto" w:fill="1F3864"/>
            <w:tcMar>
              <w:top w:w="100" w:type="dxa"/>
              <w:left w:w="120" w:type="dxa"/>
              <w:bottom w:w="100" w:type="dxa"/>
              <w:right w:w="120" w:type="dxa"/>
            </w:tcMar>
            <w:vAlign w:val="center"/>
          </w:tcPr>
          <w:p w14:paraId="4EDE3805" w14:textId="77777777" w:rsidR="00EA2DD4" w:rsidRDefault="00000000">
            <w:r>
              <w:rPr>
                <w:rFonts w:ascii="Calibri" w:eastAsia="Calibri" w:hAnsi="Calibri" w:cs="Calibri"/>
                <w:b/>
                <w:bCs/>
                <w:color w:val="FFFFFF"/>
              </w:rPr>
              <w:t>Pitanje / primjedba</w:t>
            </w:r>
          </w:p>
        </w:tc>
        <w:tc>
          <w:tcPr>
            <w:tcW w:w="1700" w:type="dxa"/>
            <w:shd w:val="clear" w:color="auto" w:fill="1F3864"/>
            <w:tcMar>
              <w:top w:w="100" w:type="dxa"/>
              <w:left w:w="120" w:type="dxa"/>
              <w:bottom w:w="100" w:type="dxa"/>
              <w:right w:w="120" w:type="dxa"/>
            </w:tcMar>
            <w:vAlign w:val="center"/>
          </w:tcPr>
          <w:p w14:paraId="3E17F0FB" w14:textId="77777777" w:rsidR="00EA2DD4" w:rsidRDefault="00000000">
            <w:r>
              <w:rPr>
                <w:rFonts w:ascii="Calibri" w:eastAsia="Calibri" w:hAnsi="Calibri" w:cs="Calibri"/>
                <w:b/>
                <w:bCs/>
                <w:color w:val="FFFFFF"/>
              </w:rPr>
              <w:t>Status</w:t>
            </w:r>
          </w:p>
        </w:tc>
        <w:tc>
          <w:tcPr>
            <w:tcW w:w="5900" w:type="dxa"/>
            <w:shd w:val="clear" w:color="auto" w:fill="1F3864"/>
            <w:tcMar>
              <w:top w:w="100" w:type="dxa"/>
              <w:left w:w="120" w:type="dxa"/>
              <w:bottom w:w="100" w:type="dxa"/>
              <w:right w:w="120" w:type="dxa"/>
            </w:tcMar>
            <w:vAlign w:val="center"/>
          </w:tcPr>
          <w:p w14:paraId="3784ACDE" w14:textId="77777777" w:rsidR="00EA2DD4" w:rsidRDefault="00000000">
            <w:r>
              <w:rPr>
                <w:rFonts w:ascii="Calibri" w:eastAsia="Calibri" w:hAnsi="Calibri" w:cs="Calibri"/>
                <w:b/>
                <w:bCs/>
                <w:color w:val="FFFFFF"/>
              </w:rPr>
              <w:t>Odgovor / obrazloženje</w:t>
            </w:r>
          </w:p>
        </w:tc>
      </w:tr>
      <w:tr w:rsidR="00EA2DD4" w14:paraId="71391F8B" w14:textId="77777777">
        <w:tblPrEx>
          <w:tblCellMar>
            <w:top w:w="0" w:type="dxa"/>
            <w:bottom w:w="0" w:type="dxa"/>
          </w:tblCellMar>
        </w:tblPrEx>
        <w:tc>
          <w:tcPr>
            <w:tcW w:w="500" w:type="dxa"/>
            <w:tcMar>
              <w:top w:w="100" w:type="dxa"/>
              <w:left w:w="120" w:type="dxa"/>
              <w:bottom w:w="100" w:type="dxa"/>
              <w:right w:w="120" w:type="dxa"/>
            </w:tcMar>
          </w:tcPr>
          <w:p w14:paraId="3139620F" w14:textId="77777777" w:rsidR="00EA2DD4" w:rsidRDefault="00000000">
            <w:pPr>
              <w:spacing w:after="80"/>
            </w:pPr>
            <w:r>
              <w:rPr>
                <w:rFonts w:ascii="Calibri" w:eastAsia="Calibri" w:hAnsi="Calibri" w:cs="Calibri"/>
              </w:rPr>
              <w:t>1.</w:t>
            </w:r>
          </w:p>
        </w:tc>
        <w:tc>
          <w:tcPr>
            <w:tcW w:w="3000" w:type="dxa"/>
            <w:tcMar>
              <w:top w:w="100" w:type="dxa"/>
              <w:left w:w="120" w:type="dxa"/>
              <w:bottom w:w="100" w:type="dxa"/>
              <w:right w:w="120" w:type="dxa"/>
            </w:tcMar>
          </w:tcPr>
          <w:p w14:paraId="01739E9D" w14:textId="77777777" w:rsidR="00EA2DD4" w:rsidRDefault="00000000">
            <w:pPr>
              <w:spacing w:after="80"/>
            </w:pPr>
            <w:r>
              <w:rPr>
                <w:rFonts w:ascii="Calibri" w:eastAsia="Calibri" w:hAnsi="Calibri" w:cs="Calibri"/>
              </w:rPr>
              <w:t xml:space="preserve">Zauzimanje javne površine/koncesija u ulici Prolaz Lukše </w:t>
            </w:r>
            <w:proofErr w:type="spellStart"/>
            <w:r>
              <w:rPr>
                <w:rFonts w:ascii="Calibri" w:eastAsia="Calibri" w:hAnsi="Calibri" w:cs="Calibri"/>
              </w:rPr>
              <w:t>Berutića</w:t>
            </w:r>
            <w:proofErr w:type="spellEnd"/>
            <w:r>
              <w:rPr>
                <w:rFonts w:ascii="Calibri" w:eastAsia="Calibri" w:hAnsi="Calibri" w:cs="Calibri"/>
              </w:rPr>
              <w:t xml:space="preserve"> - onemogućen neometan prolaz stanovnicima i vozilima javnih službi</w:t>
            </w:r>
          </w:p>
        </w:tc>
        <w:tc>
          <w:tcPr>
            <w:tcW w:w="1700" w:type="dxa"/>
            <w:shd w:val="clear" w:color="auto" w:fill="FCE4E4"/>
            <w:tcMar>
              <w:top w:w="100" w:type="dxa"/>
              <w:left w:w="120" w:type="dxa"/>
              <w:bottom w:w="100" w:type="dxa"/>
              <w:right w:w="120" w:type="dxa"/>
            </w:tcMar>
          </w:tcPr>
          <w:p w14:paraId="4B989340" w14:textId="77777777" w:rsidR="00EA2DD4" w:rsidRDefault="00000000">
            <w:pPr>
              <w:spacing w:after="80"/>
            </w:pPr>
            <w:r>
              <w:rPr>
                <w:rFonts w:ascii="Calibri" w:eastAsia="Calibri" w:hAnsi="Calibri" w:cs="Calibri"/>
                <w:b/>
                <w:bCs/>
              </w:rPr>
              <w:t>Nije predmet ovog savjetovanja - proslijeđeno nadležnoj službi</w:t>
            </w:r>
          </w:p>
        </w:tc>
        <w:tc>
          <w:tcPr>
            <w:tcW w:w="5900" w:type="dxa"/>
            <w:tcMar>
              <w:top w:w="100" w:type="dxa"/>
              <w:left w:w="120" w:type="dxa"/>
              <w:bottom w:w="100" w:type="dxa"/>
              <w:right w:w="120" w:type="dxa"/>
            </w:tcMar>
          </w:tcPr>
          <w:p w14:paraId="3755CA28" w14:textId="77777777" w:rsidR="00EA2DD4" w:rsidRDefault="00000000">
            <w:pPr>
              <w:spacing w:after="80"/>
            </w:pPr>
            <w:r>
              <w:rPr>
                <w:rFonts w:ascii="Calibri" w:eastAsia="Calibri" w:hAnsi="Calibri" w:cs="Calibri"/>
              </w:rPr>
              <w:t>Pitanje se uređuje Odlukom o komunalnom redu Općine Ston (čl. 97. st. 1. i 2. te čl. 105.), a ne nacrtom Odluke o ulasku vozila koji je predmet ovog savjetovanja. Dopis, zajedno s ranijim dopisima iz 2020. i 2021. godine, proslijeđen je Jedinstvenom upravnom odjelu i komunalno-prometnom redaru na ponovnu terensku provjeru uvjeta koncesije, uz naglasak na prohodnost za vozila hitnih službi.</w:t>
            </w:r>
          </w:p>
        </w:tc>
      </w:tr>
      <w:tr w:rsidR="00EA2DD4" w14:paraId="42C53273" w14:textId="77777777">
        <w:tblPrEx>
          <w:tblCellMar>
            <w:top w:w="0" w:type="dxa"/>
            <w:bottom w:w="0" w:type="dxa"/>
          </w:tblCellMar>
        </w:tblPrEx>
        <w:tc>
          <w:tcPr>
            <w:tcW w:w="500" w:type="dxa"/>
            <w:tcMar>
              <w:top w:w="100" w:type="dxa"/>
              <w:left w:w="120" w:type="dxa"/>
              <w:bottom w:w="100" w:type="dxa"/>
              <w:right w:w="120" w:type="dxa"/>
            </w:tcMar>
          </w:tcPr>
          <w:p w14:paraId="377C0E7C" w14:textId="77777777" w:rsidR="00EA2DD4" w:rsidRDefault="00000000">
            <w:pPr>
              <w:spacing w:after="80"/>
            </w:pPr>
            <w:r>
              <w:rPr>
                <w:rFonts w:ascii="Calibri" w:eastAsia="Calibri" w:hAnsi="Calibri" w:cs="Calibri"/>
              </w:rPr>
              <w:t>2.</w:t>
            </w:r>
          </w:p>
        </w:tc>
        <w:tc>
          <w:tcPr>
            <w:tcW w:w="3000" w:type="dxa"/>
            <w:tcMar>
              <w:top w:w="100" w:type="dxa"/>
              <w:left w:w="120" w:type="dxa"/>
              <w:bottom w:w="100" w:type="dxa"/>
              <w:right w:w="120" w:type="dxa"/>
            </w:tcMar>
          </w:tcPr>
          <w:p w14:paraId="2D446F9C" w14:textId="77777777" w:rsidR="00EA2DD4" w:rsidRDefault="00000000">
            <w:pPr>
              <w:spacing w:after="80"/>
            </w:pPr>
            <w:r>
              <w:rPr>
                <w:rFonts w:ascii="Calibri" w:eastAsia="Calibri" w:hAnsi="Calibri" w:cs="Calibri"/>
              </w:rPr>
              <w:t>Čl. 11. - prijedlog da se u obzir uzme situacija kad je vozilo nehotice blokirano tuđim vozilom u uskoj ulici, pa 30-minutni rok istječe bez krivnje vozača</w:t>
            </w:r>
          </w:p>
        </w:tc>
        <w:tc>
          <w:tcPr>
            <w:tcW w:w="1700" w:type="dxa"/>
            <w:shd w:val="clear" w:color="auto" w:fill="FFF2CC"/>
            <w:tcMar>
              <w:top w:w="100" w:type="dxa"/>
              <w:left w:w="120" w:type="dxa"/>
              <w:bottom w:w="100" w:type="dxa"/>
              <w:right w:w="120" w:type="dxa"/>
            </w:tcMar>
          </w:tcPr>
          <w:p w14:paraId="357A6EDE" w14:textId="77777777" w:rsidR="00EA2DD4" w:rsidRDefault="00000000">
            <w:pPr>
              <w:spacing w:after="80"/>
            </w:pPr>
            <w:r>
              <w:rPr>
                <w:rFonts w:ascii="Calibri" w:eastAsia="Calibri" w:hAnsi="Calibri" w:cs="Calibri"/>
                <w:b/>
                <w:bCs/>
              </w:rPr>
              <w:t>Djelomično prihvaća se - razmotrit će se dodatna uputa</w:t>
            </w:r>
          </w:p>
        </w:tc>
        <w:tc>
          <w:tcPr>
            <w:tcW w:w="5900" w:type="dxa"/>
            <w:tcMar>
              <w:top w:w="100" w:type="dxa"/>
              <w:left w:w="120" w:type="dxa"/>
              <w:bottom w:w="100" w:type="dxa"/>
              <w:right w:w="120" w:type="dxa"/>
            </w:tcMar>
          </w:tcPr>
          <w:p w14:paraId="34FC0128" w14:textId="0C05D573" w:rsidR="00EA2DD4" w:rsidRDefault="00000000">
            <w:pPr>
              <w:spacing w:after="80"/>
            </w:pPr>
            <w:r>
              <w:rPr>
                <w:rFonts w:ascii="Calibri" w:eastAsia="Calibri" w:hAnsi="Calibri" w:cs="Calibri"/>
              </w:rPr>
              <w:t>Primjedba je ocijenjena osnovanom</w:t>
            </w:r>
            <w:r w:rsidR="00AA1B21">
              <w:rPr>
                <w:rFonts w:ascii="Calibri" w:eastAsia="Calibri" w:hAnsi="Calibri" w:cs="Calibri"/>
              </w:rPr>
              <w:t>.</w:t>
            </w:r>
            <w:r>
              <w:rPr>
                <w:rFonts w:ascii="Calibri" w:eastAsia="Calibri" w:hAnsi="Calibri" w:cs="Calibri"/>
              </w:rPr>
              <w:t xml:space="preserve"> razmatranj</w:t>
            </w:r>
            <w:r w:rsidR="00AA1B21">
              <w:rPr>
                <w:rFonts w:ascii="Calibri" w:eastAsia="Calibri" w:hAnsi="Calibri" w:cs="Calibri"/>
              </w:rPr>
              <w:t>e</w:t>
            </w:r>
            <w:r>
              <w:rPr>
                <w:rFonts w:ascii="Calibri" w:eastAsia="Calibri" w:hAnsi="Calibri" w:cs="Calibri"/>
              </w:rPr>
              <w:t xml:space="preserve"> operativne upute komunalno-prometnom redaru za ovakve objektivne, od vozača neovisne okolnosti. Napominje se da postojeći mehanizam iz čl. 11. (poseban zahtjev i dopunsko rješenje redara za opravdano dulje zadržavanje) već omogućuje rješavanje ponavljajućih slučajeva ove vrste.</w:t>
            </w:r>
          </w:p>
        </w:tc>
      </w:tr>
      <w:tr w:rsidR="00EA2DD4" w14:paraId="5F1DF09A" w14:textId="77777777">
        <w:tblPrEx>
          <w:tblCellMar>
            <w:top w:w="0" w:type="dxa"/>
            <w:bottom w:w="0" w:type="dxa"/>
          </w:tblCellMar>
        </w:tblPrEx>
        <w:tc>
          <w:tcPr>
            <w:tcW w:w="500" w:type="dxa"/>
            <w:tcMar>
              <w:top w:w="100" w:type="dxa"/>
              <w:left w:w="120" w:type="dxa"/>
              <w:bottom w:w="100" w:type="dxa"/>
              <w:right w:w="120" w:type="dxa"/>
            </w:tcMar>
          </w:tcPr>
          <w:p w14:paraId="222D343B" w14:textId="77777777" w:rsidR="00EA2DD4" w:rsidRDefault="00000000">
            <w:pPr>
              <w:spacing w:after="80"/>
            </w:pPr>
            <w:r>
              <w:rPr>
                <w:rFonts w:ascii="Calibri" w:eastAsia="Calibri" w:hAnsi="Calibri" w:cs="Calibri"/>
              </w:rPr>
              <w:t>3.</w:t>
            </w:r>
          </w:p>
        </w:tc>
        <w:tc>
          <w:tcPr>
            <w:tcW w:w="3000" w:type="dxa"/>
            <w:tcMar>
              <w:top w:w="100" w:type="dxa"/>
              <w:left w:w="120" w:type="dxa"/>
              <w:bottom w:w="100" w:type="dxa"/>
              <w:right w:w="120" w:type="dxa"/>
            </w:tcMar>
          </w:tcPr>
          <w:p w14:paraId="3B3975BA" w14:textId="77777777" w:rsidR="00EA2DD4" w:rsidRDefault="00000000">
            <w:pPr>
              <w:spacing w:after="80"/>
            </w:pPr>
            <w:r>
              <w:rPr>
                <w:rFonts w:ascii="Calibri" w:eastAsia="Calibri" w:hAnsi="Calibri" w:cs="Calibri"/>
              </w:rPr>
              <w:t>Opća podrška uvođenju novog sustava ulaska i kretanja u staroj jezgri</w:t>
            </w:r>
          </w:p>
        </w:tc>
        <w:tc>
          <w:tcPr>
            <w:tcW w:w="1700" w:type="dxa"/>
            <w:shd w:val="clear" w:color="auto" w:fill="FCE4E4"/>
            <w:tcMar>
              <w:top w:w="100" w:type="dxa"/>
              <w:left w:w="120" w:type="dxa"/>
              <w:bottom w:w="100" w:type="dxa"/>
              <w:right w:w="120" w:type="dxa"/>
            </w:tcMar>
          </w:tcPr>
          <w:p w14:paraId="2666468D" w14:textId="77777777" w:rsidR="00EA2DD4" w:rsidRDefault="00000000">
            <w:pPr>
              <w:spacing w:after="80"/>
            </w:pPr>
            <w:r>
              <w:rPr>
                <w:rFonts w:ascii="Calibri" w:eastAsia="Calibri" w:hAnsi="Calibri" w:cs="Calibri"/>
                <w:b/>
                <w:bCs/>
              </w:rPr>
              <w:t>Primljeno na znanje</w:t>
            </w:r>
          </w:p>
        </w:tc>
        <w:tc>
          <w:tcPr>
            <w:tcW w:w="5900" w:type="dxa"/>
            <w:tcMar>
              <w:top w:w="100" w:type="dxa"/>
              <w:left w:w="120" w:type="dxa"/>
              <w:bottom w:w="100" w:type="dxa"/>
              <w:right w:w="120" w:type="dxa"/>
            </w:tcMar>
          </w:tcPr>
          <w:p w14:paraId="3CAD4ADE" w14:textId="77777777" w:rsidR="00EA2DD4" w:rsidRDefault="00000000">
            <w:pPr>
              <w:spacing w:after="80"/>
            </w:pPr>
            <w:r>
              <w:rPr>
                <w:rFonts w:ascii="Calibri" w:eastAsia="Calibri" w:hAnsi="Calibri" w:cs="Calibri"/>
              </w:rPr>
              <w:t>Podnositeljica je izrazila podršku novom prijedlogu regulacije prometa, bez konkretnog prijedloga izmjene teksta.</w:t>
            </w:r>
          </w:p>
        </w:tc>
      </w:tr>
    </w:tbl>
    <w:p w14:paraId="1AA42880" w14:textId="77777777" w:rsidR="00EA2DD4" w:rsidRDefault="00000000">
      <w:pPr>
        <w:spacing w:before="300" w:after="100"/>
      </w:pPr>
      <w:r>
        <w:rPr>
          <w:rFonts w:ascii="Calibri" w:eastAsia="Calibri" w:hAnsi="Calibri" w:cs="Calibri"/>
          <w:b/>
          <w:bCs/>
          <w:sz w:val="22"/>
          <w:szCs w:val="22"/>
        </w:rPr>
        <w:t>Napomena uz dopis gđe Margete</w:t>
      </w:r>
    </w:p>
    <w:p w14:paraId="26B28733" w14:textId="77777777" w:rsidR="00EA2DD4" w:rsidRDefault="00000000" w:rsidP="00AA1B21">
      <w:pPr>
        <w:spacing w:after="100"/>
        <w:jc w:val="both"/>
        <w:rPr>
          <w:rFonts w:ascii="Calibri" w:eastAsia="Calibri" w:hAnsi="Calibri" w:cs="Calibri"/>
        </w:rPr>
      </w:pPr>
      <w:r>
        <w:rPr>
          <w:rFonts w:ascii="Calibri" w:eastAsia="Calibri" w:hAnsi="Calibri" w:cs="Calibri"/>
        </w:rPr>
        <w:t xml:space="preserve">Dopis se najvećim dijelom odnosi na dugogodišnji spor oko koncesije u ulici Prolaz Lukše </w:t>
      </w:r>
      <w:proofErr w:type="spellStart"/>
      <w:r>
        <w:rPr>
          <w:rFonts w:ascii="Calibri" w:eastAsia="Calibri" w:hAnsi="Calibri" w:cs="Calibri"/>
        </w:rPr>
        <w:t>Berutića</w:t>
      </w:r>
      <w:proofErr w:type="spellEnd"/>
      <w:r>
        <w:rPr>
          <w:rFonts w:ascii="Calibri" w:eastAsia="Calibri" w:hAnsi="Calibri" w:cs="Calibri"/>
        </w:rPr>
        <w:t>, koji se rješava temeljem Odluke o komunalnom redu Općine Ston, a ne ovog nacrta, te je u tom dijelu proslijeđen nadležnoj službi na terensku provjeru. Samo je jedan segment dopisa (postupanje kod nehotičnog blokiranja vozila u uskoj ulici) izravno vezan uz nacrt Odluke o ulasku vozila te je zabilježen kao osnovan prijedlog za operativnu doradu.</w:t>
      </w:r>
    </w:p>
    <w:p w14:paraId="0E3D56B2" w14:textId="77777777" w:rsidR="00AA1B21" w:rsidRDefault="00AA1B21" w:rsidP="00AA1B21">
      <w:pPr>
        <w:spacing w:after="100"/>
        <w:jc w:val="both"/>
        <w:rPr>
          <w:rFonts w:ascii="Calibri" w:eastAsia="Calibri" w:hAnsi="Calibri" w:cs="Calibri"/>
        </w:rPr>
      </w:pPr>
    </w:p>
    <w:p w14:paraId="73C1E02B" w14:textId="08DF412A" w:rsidR="00AA1B21" w:rsidRDefault="005C01DD" w:rsidP="005C01DD">
      <w:pPr>
        <w:spacing w:after="100"/>
        <w:jc w:val="right"/>
      </w:pPr>
      <w:r>
        <w:t>Izvješće izradila:</w:t>
      </w:r>
    </w:p>
    <w:p w14:paraId="0E8E3001" w14:textId="0B3DDE96" w:rsidR="005C01DD" w:rsidRDefault="005C01DD" w:rsidP="005C01DD">
      <w:pPr>
        <w:spacing w:after="100"/>
        <w:jc w:val="right"/>
      </w:pPr>
      <w:r>
        <w:t>Ivana Vlahušić</w:t>
      </w:r>
    </w:p>
    <w:sectPr w:rsidR="005C01DD">
      <w:pgSz w:w="11906" w:h="16838"/>
      <w:pgMar w:top="900" w:right="900" w:bottom="9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85389"/>
    <w:multiLevelType w:val="hybridMultilevel"/>
    <w:tmpl w:val="FDA2EA28"/>
    <w:lvl w:ilvl="0" w:tplc="BAAA8316">
      <w:start w:val="1"/>
      <w:numFmt w:val="bullet"/>
      <w:lvlText w:val="●"/>
      <w:lvlJc w:val="left"/>
      <w:pPr>
        <w:ind w:left="720" w:hanging="360"/>
      </w:pPr>
    </w:lvl>
    <w:lvl w:ilvl="1" w:tplc="5862F8DE">
      <w:start w:val="1"/>
      <w:numFmt w:val="bullet"/>
      <w:lvlText w:val="○"/>
      <w:lvlJc w:val="left"/>
      <w:pPr>
        <w:ind w:left="1440" w:hanging="360"/>
      </w:pPr>
    </w:lvl>
    <w:lvl w:ilvl="2" w:tplc="1FCE76EE">
      <w:start w:val="1"/>
      <w:numFmt w:val="bullet"/>
      <w:lvlText w:val="■"/>
      <w:lvlJc w:val="left"/>
      <w:pPr>
        <w:ind w:left="2160" w:hanging="360"/>
      </w:pPr>
    </w:lvl>
    <w:lvl w:ilvl="3" w:tplc="0712BD26">
      <w:start w:val="1"/>
      <w:numFmt w:val="bullet"/>
      <w:lvlText w:val="●"/>
      <w:lvlJc w:val="left"/>
      <w:pPr>
        <w:ind w:left="2880" w:hanging="360"/>
      </w:pPr>
    </w:lvl>
    <w:lvl w:ilvl="4" w:tplc="0D501FE4">
      <w:start w:val="1"/>
      <w:numFmt w:val="bullet"/>
      <w:lvlText w:val="○"/>
      <w:lvlJc w:val="left"/>
      <w:pPr>
        <w:ind w:left="3600" w:hanging="360"/>
      </w:pPr>
    </w:lvl>
    <w:lvl w:ilvl="5" w:tplc="F66065B0">
      <w:start w:val="1"/>
      <w:numFmt w:val="bullet"/>
      <w:lvlText w:val="■"/>
      <w:lvlJc w:val="left"/>
      <w:pPr>
        <w:ind w:left="4320" w:hanging="360"/>
      </w:pPr>
    </w:lvl>
    <w:lvl w:ilvl="6" w:tplc="85D84EB8">
      <w:start w:val="1"/>
      <w:numFmt w:val="bullet"/>
      <w:lvlText w:val="●"/>
      <w:lvlJc w:val="left"/>
      <w:pPr>
        <w:ind w:left="5040" w:hanging="360"/>
      </w:pPr>
    </w:lvl>
    <w:lvl w:ilvl="7" w:tplc="5644D0B6">
      <w:start w:val="1"/>
      <w:numFmt w:val="bullet"/>
      <w:lvlText w:val="●"/>
      <w:lvlJc w:val="left"/>
      <w:pPr>
        <w:ind w:left="5760" w:hanging="360"/>
      </w:pPr>
    </w:lvl>
    <w:lvl w:ilvl="8" w:tplc="73F4F246">
      <w:start w:val="1"/>
      <w:numFmt w:val="bullet"/>
      <w:lvlText w:val="●"/>
      <w:lvlJc w:val="left"/>
      <w:pPr>
        <w:ind w:left="6480" w:hanging="360"/>
      </w:pPr>
    </w:lvl>
  </w:abstractNum>
  <w:num w:numId="1" w16cid:durableId="887690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D4"/>
    <w:rsid w:val="00213232"/>
    <w:rsid w:val="005C01DD"/>
    <w:rsid w:val="00AA1B21"/>
    <w:rsid w:val="00C5468B"/>
    <w:rsid w:val="00EA2DD4"/>
    <w:rsid w:val="00F27F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83B5"/>
  <w15:docId w15:val="{EDC26DF5-5472-4BD6-8597-E9ECF62C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style>
  <w:style w:type="character" w:customStyle="1" w:styleId="TekstkrajnjebiljekeChar">
    <w:name w:val="Tekst krajnje bilješke Char"/>
    <w:link w:val="Tekstkrajnjebiljeke"/>
    <w:uiPriority w:val="99"/>
    <w:semiHidden/>
    <w:unhideWhenUsed/>
    <w:rPr>
      <w:sz w:val="20"/>
      <w:szCs w:val="20"/>
    </w:rPr>
  </w:style>
  <w:style w:type="paragraph" w:styleId="Bezproreda">
    <w:name w:val="No Spacing"/>
    <w:uiPriority w:val="1"/>
    <w:qFormat/>
    <w:rsid w:val="00AA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2412</Words>
  <Characters>13749</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Ivana Vlahušić</cp:lastModifiedBy>
  <cp:revision>3</cp:revision>
  <dcterms:created xsi:type="dcterms:W3CDTF">2026-07-06T06:29:00Z</dcterms:created>
  <dcterms:modified xsi:type="dcterms:W3CDTF">2026-07-06T06:29:00Z</dcterms:modified>
</cp:coreProperties>
</file>