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6760" w14:textId="77777777" w:rsidR="00A10338" w:rsidRDefault="00A103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8CA97D4" w14:textId="77777777" w:rsidR="00A10338" w:rsidRDefault="00A103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F2F8492" w14:textId="77777777" w:rsidR="00A10338" w:rsidRDefault="00EB291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POLUGODIŠNJI IZVJEŠTAJ O IZVRŠENJU PRORAČUNA</w:t>
      </w:r>
    </w:p>
    <w:p w14:paraId="7CFDA5BC" w14:textId="7D1FF117" w:rsidR="00A10338" w:rsidRDefault="00EB291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01.01.202</w:t>
      </w:r>
      <w:r w:rsidR="00B547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30.06.202</w:t>
      </w:r>
      <w:r w:rsidR="00B547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14:paraId="29CC0F31" w14:textId="77777777" w:rsidR="00A10338" w:rsidRDefault="00A103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46F81E0" w14:textId="77777777" w:rsidR="00A10338" w:rsidRDefault="00EB291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14D63543" w14:textId="77777777" w:rsidR="00A10338" w:rsidRDefault="00A103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C5F85E" w14:textId="77777777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 izvještaj o izvršenju proračuna uključuje ostvarene prihode i rashode te primitke i izdatke Općine Ston i njezinih proračunskih korisnika Dječjeg vrtića Ston i Narodne knjižnice Ston.</w:t>
      </w:r>
    </w:p>
    <w:p w14:paraId="5DD634B8" w14:textId="77777777" w:rsidR="00A10338" w:rsidRDefault="00A103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B1595F" w14:textId="77777777" w:rsidR="00A10338" w:rsidRDefault="00EB291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 DIO</w:t>
      </w:r>
    </w:p>
    <w:p w14:paraId="17BE8C3F" w14:textId="77777777" w:rsidR="00A10338" w:rsidRDefault="00A1033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714BF" w14:textId="77777777" w:rsidR="00A10338" w:rsidRDefault="00EB291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 Računa prihoda i rashoda i Računa financiranja</w:t>
      </w:r>
    </w:p>
    <w:p w14:paraId="04839E49" w14:textId="77777777" w:rsidR="00A10338" w:rsidRDefault="00A103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5C0127" w14:textId="4D35D75C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 u izvještajnom razdoblju ostvareni su u iznosu od </w:t>
      </w:r>
      <w:r w:rsidR="004749BF">
        <w:rPr>
          <w:rFonts w:ascii="Times New Roman" w:hAnsi="Times New Roman" w:cs="Times New Roman"/>
          <w:sz w:val="24"/>
          <w:szCs w:val="24"/>
        </w:rPr>
        <w:t>1.282.186,22</w:t>
      </w:r>
      <w:r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0E68B5">
        <w:rPr>
          <w:rFonts w:ascii="Times New Roman" w:hAnsi="Times New Roman" w:cs="Times New Roman"/>
          <w:sz w:val="24"/>
          <w:szCs w:val="24"/>
        </w:rPr>
        <w:t>18,26</w:t>
      </w:r>
      <w:r>
        <w:rPr>
          <w:rFonts w:ascii="Times New Roman" w:hAnsi="Times New Roman" w:cs="Times New Roman"/>
          <w:sz w:val="24"/>
          <w:szCs w:val="24"/>
        </w:rPr>
        <w:t>% više u odnosu na isto razdoblje prošle godine, a u odnosu na godišnji plan za 202</w:t>
      </w:r>
      <w:r w:rsidR="00A057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ostvareni su </w:t>
      </w:r>
      <w:r w:rsidR="00A057A7">
        <w:rPr>
          <w:rFonts w:ascii="Times New Roman" w:hAnsi="Times New Roman" w:cs="Times New Roman"/>
          <w:sz w:val="24"/>
          <w:szCs w:val="24"/>
        </w:rPr>
        <w:t>21,70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CA51C93" w14:textId="02D5506A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u izvještajnom razdoblju ostvareni su u iznosu od </w:t>
      </w:r>
      <w:r w:rsidR="00A03CD7">
        <w:rPr>
          <w:rFonts w:ascii="Times New Roman" w:hAnsi="Times New Roman" w:cs="Times New Roman"/>
          <w:sz w:val="24"/>
          <w:szCs w:val="24"/>
        </w:rPr>
        <w:t>1.</w:t>
      </w:r>
      <w:r w:rsidR="00010170">
        <w:rPr>
          <w:rFonts w:ascii="Times New Roman" w:hAnsi="Times New Roman" w:cs="Times New Roman"/>
          <w:sz w:val="24"/>
          <w:szCs w:val="24"/>
        </w:rPr>
        <w:t>317.996,74</w:t>
      </w:r>
      <w:r>
        <w:rPr>
          <w:rFonts w:ascii="Times New Roman" w:hAnsi="Times New Roman" w:cs="Times New Roman"/>
          <w:sz w:val="24"/>
          <w:szCs w:val="24"/>
        </w:rPr>
        <w:t xml:space="preserve">€, što je za </w:t>
      </w:r>
      <w:r w:rsidR="00010170">
        <w:rPr>
          <w:rFonts w:ascii="Times New Roman" w:hAnsi="Times New Roman" w:cs="Times New Roman"/>
          <w:sz w:val="24"/>
          <w:szCs w:val="24"/>
        </w:rPr>
        <w:t>18,67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010170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u odnosu na rashode u istom razdoblju prošle godine, dok su u odnosu na plan za cijelu 202</w:t>
      </w:r>
      <w:r w:rsidR="00503C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ostvareni 21,</w:t>
      </w:r>
      <w:r w:rsidR="00503C7B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%. Razlog </w:t>
      </w:r>
      <w:r w:rsidR="00503C7B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ostvarenih rashoda prati dinamiku naplate prihoda, što je ranije navedeno. </w:t>
      </w:r>
    </w:p>
    <w:p w14:paraId="3545D9FE" w14:textId="6003CD70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financijske imovine i zaduživanja </w:t>
      </w:r>
      <w:r w:rsidR="00412558">
        <w:rPr>
          <w:rFonts w:ascii="Times New Roman" w:hAnsi="Times New Roman" w:cs="Times New Roman"/>
          <w:sz w:val="24"/>
          <w:szCs w:val="24"/>
        </w:rPr>
        <w:t>nisu ostvareni u izvještajnom razdoblju,</w:t>
      </w:r>
      <w:r>
        <w:rPr>
          <w:rFonts w:ascii="Times New Roman" w:hAnsi="Times New Roman" w:cs="Times New Roman"/>
          <w:sz w:val="24"/>
          <w:szCs w:val="24"/>
        </w:rPr>
        <w:t xml:space="preserve"> a izdaci za financijsku imovinu i otplate zajmova imaju ostvarenje u izvještajnom razdoblju u iznosu od </w:t>
      </w:r>
      <w:r w:rsidR="00412558">
        <w:rPr>
          <w:rFonts w:ascii="Times New Roman" w:hAnsi="Times New Roman" w:cs="Times New Roman"/>
          <w:sz w:val="24"/>
          <w:szCs w:val="24"/>
        </w:rPr>
        <w:t>40.000,00</w:t>
      </w:r>
      <w:r>
        <w:rPr>
          <w:rFonts w:ascii="Times New Roman" w:hAnsi="Times New Roman" w:cs="Times New Roman"/>
          <w:sz w:val="24"/>
          <w:szCs w:val="24"/>
        </w:rPr>
        <w:t xml:space="preserve">€. </w:t>
      </w:r>
    </w:p>
    <w:p w14:paraId="53C8ADA7" w14:textId="4F1A3C81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izvještajnog razdoblja ostvaren je manjak od </w:t>
      </w:r>
      <w:r w:rsidR="00412558">
        <w:rPr>
          <w:rFonts w:ascii="Times New Roman" w:hAnsi="Times New Roman" w:cs="Times New Roman"/>
          <w:sz w:val="24"/>
          <w:szCs w:val="24"/>
        </w:rPr>
        <w:t>120.355,38</w:t>
      </w:r>
      <w:r>
        <w:rPr>
          <w:rFonts w:ascii="Times New Roman" w:hAnsi="Times New Roman" w:cs="Times New Roman"/>
          <w:sz w:val="24"/>
          <w:szCs w:val="24"/>
        </w:rPr>
        <w:t xml:space="preserve">€.  </w:t>
      </w:r>
    </w:p>
    <w:p w14:paraId="54BACB57" w14:textId="77777777" w:rsidR="00A10338" w:rsidRDefault="00A1033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7A31F" w14:textId="77777777" w:rsidR="00A10338" w:rsidRDefault="00EB291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rashodi prema ekonomskoj klasifikaciji</w:t>
      </w:r>
    </w:p>
    <w:p w14:paraId="2ED99FEC" w14:textId="77777777" w:rsidR="00A10338" w:rsidRDefault="00A1033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8FB65" w14:textId="66100D09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veći su za </w:t>
      </w:r>
      <w:r w:rsidR="00912530">
        <w:rPr>
          <w:rFonts w:ascii="Times New Roman" w:hAnsi="Times New Roman" w:cs="Times New Roman"/>
          <w:sz w:val="24"/>
          <w:szCs w:val="24"/>
        </w:rPr>
        <w:t>18,27</w:t>
      </w:r>
      <w:r>
        <w:rPr>
          <w:rFonts w:ascii="Times New Roman" w:hAnsi="Times New Roman" w:cs="Times New Roman"/>
          <w:sz w:val="24"/>
          <w:szCs w:val="24"/>
        </w:rPr>
        <w:t>% u odnosu na isto razdoblje prošle godine, dok su u odnosu na godišnji plan 202</w:t>
      </w:r>
      <w:r w:rsidR="009125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ostvareni </w:t>
      </w:r>
      <w:r w:rsidR="00912530">
        <w:rPr>
          <w:rFonts w:ascii="Times New Roman" w:hAnsi="Times New Roman" w:cs="Times New Roman"/>
          <w:sz w:val="24"/>
          <w:szCs w:val="24"/>
        </w:rPr>
        <w:t>21,72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ED4CE3D" w14:textId="77777777" w:rsidR="004B3CFA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poreza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su za </w:t>
      </w:r>
      <w:r w:rsidR="00942804">
        <w:rPr>
          <w:rFonts w:ascii="Times New Roman" w:hAnsi="Times New Roman" w:cs="Times New Roman"/>
          <w:sz w:val="24"/>
          <w:szCs w:val="24"/>
        </w:rPr>
        <w:t>16,54</w:t>
      </w:r>
      <w:r>
        <w:rPr>
          <w:rFonts w:ascii="Times New Roman" w:hAnsi="Times New Roman" w:cs="Times New Roman"/>
          <w:sz w:val="24"/>
          <w:szCs w:val="24"/>
        </w:rPr>
        <w:t xml:space="preserve">% veći u odnosu na isto razdoblje prošle godine. Ostvareni su </w:t>
      </w:r>
      <w:r w:rsidR="00942804">
        <w:rPr>
          <w:rFonts w:ascii="Times New Roman" w:hAnsi="Times New Roman" w:cs="Times New Roman"/>
          <w:sz w:val="24"/>
          <w:szCs w:val="24"/>
        </w:rPr>
        <w:t>46,50</w:t>
      </w:r>
      <w:r>
        <w:rPr>
          <w:rFonts w:ascii="Times New Roman" w:hAnsi="Times New Roman" w:cs="Times New Roman"/>
          <w:sz w:val="24"/>
          <w:szCs w:val="24"/>
        </w:rPr>
        <w:t xml:space="preserve">% u odnosu na planirano. </w:t>
      </w:r>
    </w:p>
    <w:p w14:paraId="6BBC6663" w14:textId="4CFDC754" w:rsidR="004C5C03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Veći su prihodi od poreza na dohodak od nesamostalnog rada iz razloga </w:t>
      </w:r>
      <w:r w:rsidR="00B707F7">
        <w:rPr>
          <w:rFonts w:ascii="Times New Roman" w:hAnsi="Times New Roman" w:cs="Times New Roman"/>
          <w:sz w:val="24"/>
          <w:szCs w:val="24"/>
        </w:rPr>
        <w:t>povećanja osobnih primanja od 01.01.2025.</w:t>
      </w:r>
      <w:r>
        <w:rPr>
          <w:rFonts w:ascii="Times New Roman" w:hAnsi="Times New Roman" w:cs="Times New Roman"/>
          <w:sz w:val="24"/>
          <w:szCs w:val="24"/>
        </w:rPr>
        <w:t xml:space="preserve">, prihodi od poreza na dohodak od samostalnih djelatnosti, poreza na dohodak od kapitala, </w:t>
      </w:r>
      <w:r w:rsidR="003E5CDD">
        <w:rPr>
          <w:rFonts w:ascii="Times New Roman" w:hAnsi="Times New Roman" w:cs="Times New Roman"/>
          <w:sz w:val="24"/>
          <w:szCs w:val="24"/>
        </w:rPr>
        <w:t xml:space="preserve">poreza na dohodak od imovine i imovinskih prava, </w:t>
      </w:r>
      <w:r>
        <w:rPr>
          <w:rFonts w:ascii="Times New Roman" w:hAnsi="Times New Roman" w:cs="Times New Roman"/>
          <w:sz w:val="24"/>
          <w:szCs w:val="24"/>
        </w:rPr>
        <w:t>porez i prirez na dohodak po godišnjoj prijavi</w:t>
      </w:r>
      <w:r w:rsidR="002D3268">
        <w:rPr>
          <w:rFonts w:ascii="Times New Roman" w:hAnsi="Times New Roman" w:cs="Times New Roman"/>
          <w:sz w:val="24"/>
          <w:szCs w:val="24"/>
        </w:rPr>
        <w:t xml:space="preserve">, </w:t>
      </w:r>
      <w:r w:rsidR="002B24D4">
        <w:rPr>
          <w:rFonts w:ascii="Times New Roman" w:hAnsi="Times New Roman" w:cs="Times New Roman"/>
          <w:sz w:val="24"/>
          <w:szCs w:val="24"/>
        </w:rPr>
        <w:t xml:space="preserve">kao i povrata poreza na dohodak po godišnjoj prijavi.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E35E2A" w14:textId="7D7001B0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Manji su prihodi </w:t>
      </w:r>
      <w:r w:rsidR="00BA680F">
        <w:rPr>
          <w:rFonts w:ascii="Times New Roman" w:hAnsi="Times New Roman" w:cs="Times New Roman"/>
          <w:sz w:val="24"/>
          <w:szCs w:val="24"/>
        </w:rPr>
        <w:t>na stavci poreza na dohodak utvrđenog u postupku nadzora za prethodne godine</w:t>
      </w:r>
      <w:r w:rsidR="000F6C1D">
        <w:rPr>
          <w:rFonts w:ascii="Times New Roman" w:hAnsi="Times New Roman" w:cs="Times New Roman"/>
          <w:sz w:val="24"/>
          <w:szCs w:val="24"/>
        </w:rPr>
        <w:t xml:space="preserve"> (smanjenje za 80%)</w:t>
      </w:r>
      <w:r w:rsidR="0024456E">
        <w:rPr>
          <w:rFonts w:ascii="Times New Roman" w:hAnsi="Times New Roman" w:cs="Times New Roman"/>
          <w:sz w:val="24"/>
          <w:szCs w:val="24"/>
        </w:rPr>
        <w:t>, kao i porezi na imovinu</w:t>
      </w:r>
      <w:r w:rsidR="008C300F">
        <w:rPr>
          <w:rFonts w:ascii="Times New Roman" w:hAnsi="Times New Roman" w:cs="Times New Roman"/>
          <w:sz w:val="24"/>
          <w:szCs w:val="24"/>
        </w:rPr>
        <w:t xml:space="preserve"> (manja naplata poreza na kuće za odmor</w:t>
      </w:r>
      <w:r w:rsidR="004B3CFA">
        <w:rPr>
          <w:rFonts w:ascii="Times New Roman" w:hAnsi="Times New Roman" w:cs="Times New Roman"/>
          <w:sz w:val="24"/>
          <w:szCs w:val="24"/>
        </w:rPr>
        <w:t xml:space="preserve"> i poreza na promet nekretnina). </w:t>
      </w:r>
    </w:p>
    <w:p w14:paraId="4F67559C" w14:textId="12AFFA2C" w:rsidR="000F6C1D" w:rsidRDefault="000F6C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navedeno se odnosi na Općinu Ston. </w:t>
      </w:r>
    </w:p>
    <w:p w14:paraId="0EA04A93" w14:textId="372EE86C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pomoći iz inozemstva i od subjekata općeg proračuna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ostvareni su u iznosu od </w:t>
      </w:r>
      <w:r w:rsidR="00C33B11">
        <w:rPr>
          <w:rFonts w:ascii="Times New Roman" w:hAnsi="Times New Roman" w:cs="Times New Roman"/>
          <w:sz w:val="24"/>
          <w:szCs w:val="24"/>
        </w:rPr>
        <w:t>246.713,79</w:t>
      </w:r>
      <w:r>
        <w:rPr>
          <w:rFonts w:ascii="Times New Roman" w:hAnsi="Times New Roman" w:cs="Times New Roman"/>
          <w:sz w:val="24"/>
          <w:szCs w:val="24"/>
        </w:rPr>
        <w:t xml:space="preserve">€. </w:t>
      </w:r>
    </w:p>
    <w:p w14:paraId="18671EA4" w14:textId="26456634" w:rsidR="00073A8E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pomoći su veće za </w:t>
      </w:r>
      <w:r w:rsidR="00320498">
        <w:rPr>
          <w:rFonts w:ascii="Times New Roman" w:hAnsi="Times New Roman" w:cs="Times New Roman"/>
          <w:sz w:val="24"/>
          <w:szCs w:val="24"/>
        </w:rPr>
        <w:t>1,</w:t>
      </w:r>
      <w:r w:rsidR="00E74D1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% u odnosu na prošlu godinu, kod Općine radi se o pomoći koja je vezana za fiskalnu održivost dječjih vrtića</w:t>
      </w:r>
      <w:r w:rsidR="00D00C86">
        <w:rPr>
          <w:rFonts w:ascii="Times New Roman" w:hAnsi="Times New Roman" w:cs="Times New Roman"/>
          <w:sz w:val="24"/>
          <w:szCs w:val="24"/>
        </w:rPr>
        <w:t xml:space="preserve"> i refundacija troškova Županijskog suda u Dubrovniku za održane lokalne izbore u svibnju i lipnju ove godine</w:t>
      </w:r>
      <w:r w:rsidR="001402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169">
        <w:rPr>
          <w:rFonts w:ascii="Times New Roman" w:hAnsi="Times New Roman" w:cs="Times New Roman"/>
          <w:sz w:val="24"/>
          <w:szCs w:val="24"/>
        </w:rPr>
        <w:t xml:space="preserve">Kapitalnih pomoći proračunu </w:t>
      </w:r>
      <w:r w:rsidR="00DB24FC">
        <w:rPr>
          <w:rFonts w:ascii="Times New Roman" w:hAnsi="Times New Roman" w:cs="Times New Roman"/>
          <w:sz w:val="24"/>
          <w:szCs w:val="24"/>
        </w:rPr>
        <w:t xml:space="preserve">Općine Ston je bilo 82.000,00€, gdje se 42.000,00€ odnosi na </w:t>
      </w:r>
      <w:r w:rsidR="005358C3">
        <w:rPr>
          <w:rFonts w:ascii="Times New Roman" w:hAnsi="Times New Roman" w:cs="Times New Roman"/>
          <w:sz w:val="24"/>
          <w:szCs w:val="24"/>
        </w:rPr>
        <w:t>uplatu DNŽ, vezano za refundaciju plaćenih troškova za Izradu projektno-tehničke dokumentacije za potrebe realizacije projekta ''Centar za rehabilitaciju i hipoterapiju – Pelješac'', a</w:t>
      </w:r>
      <w:r w:rsidR="00073A8E">
        <w:rPr>
          <w:rFonts w:ascii="Times New Roman" w:hAnsi="Times New Roman" w:cs="Times New Roman"/>
          <w:sz w:val="24"/>
          <w:szCs w:val="24"/>
        </w:rPr>
        <w:t xml:space="preserve"> iznos od 40.000,00€ odnosi se na Projekt uređenja obalnog pojasa  unutar centra Stona, uplata Dubrovačko-neretvanske županije. </w:t>
      </w:r>
    </w:p>
    <w:p w14:paraId="5F45413B" w14:textId="2D284805" w:rsidR="00073A8E" w:rsidRDefault="00073A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PK Narodna knjižnica Ston ostvareno se odnosi na nabavku knjižne građe. </w:t>
      </w:r>
    </w:p>
    <w:p w14:paraId="580968AA" w14:textId="2955CAB4" w:rsidR="004B1486" w:rsidRDefault="00B052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Ostvarene su i pomoći od izvanproračunskih korisnika, uplata Fonda za zaštitu okoliša i energetsku učinkovitost</w:t>
      </w:r>
      <w:r w:rsidR="00F570E1">
        <w:rPr>
          <w:rFonts w:ascii="Times New Roman" w:hAnsi="Times New Roman" w:cs="Times New Roman"/>
          <w:sz w:val="24"/>
          <w:szCs w:val="24"/>
        </w:rPr>
        <w:t xml:space="preserve"> u iznosu od 18.950,00€</w:t>
      </w:r>
      <w:r w:rsidR="00DD4B24">
        <w:rPr>
          <w:rFonts w:ascii="Times New Roman" w:hAnsi="Times New Roman" w:cs="Times New Roman"/>
          <w:sz w:val="24"/>
          <w:szCs w:val="24"/>
        </w:rPr>
        <w:t xml:space="preserve"> (povrat pred-financiranja Općine Ston za odvojeno sakupljanje komunalnog otpada). </w:t>
      </w:r>
    </w:p>
    <w:p w14:paraId="46E75957" w14:textId="49942524" w:rsidR="006B1712" w:rsidRDefault="006B17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Nadalje, pomoći temeljem prijenosa EU sredstava </w:t>
      </w:r>
      <w:r w:rsidR="00D4784D">
        <w:rPr>
          <w:rFonts w:ascii="Times New Roman" w:hAnsi="Times New Roman" w:cs="Times New Roman"/>
          <w:sz w:val="24"/>
          <w:szCs w:val="24"/>
        </w:rPr>
        <w:t>ostvarene su u iznosu od 100.285,27€</w:t>
      </w:r>
      <w:r w:rsidR="00253B7D">
        <w:rPr>
          <w:rFonts w:ascii="Times New Roman" w:hAnsi="Times New Roman" w:cs="Times New Roman"/>
          <w:sz w:val="24"/>
          <w:szCs w:val="24"/>
        </w:rPr>
        <w:t>, odnosi se na uplate Državnog proračuna RH Općini Ston a vezano za</w:t>
      </w:r>
      <w:r w:rsidR="00927FE0">
        <w:rPr>
          <w:rFonts w:ascii="Times New Roman" w:hAnsi="Times New Roman" w:cs="Times New Roman"/>
          <w:sz w:val="24"/>
          <w:szCs w:val="24"/>
        </w:rPr>
        <w:t xml:space="preserve"> prihode koji se odnose na projekt ''Zaželi – Niste sami'' i ''Interreg testeat projekt Italija-Hrvatska'', koje je pred-financirala Općina za troškove plaća i materijalne troškove. Kapital</w:t>
      </w:r>
      <w:r w:rsidR="006C7D51">
        <w:rPr>
          <w:rFonts w:ascii="Times New Roman" w:hAnsi="Times New Roman" w:cs="Times New Roman"/>
          <w:sz w:val="24"/>
          <w:szCs w:val="24"/>
        </w:rPr>
        <w:t xml:space="preserve">nih </w:t>
      </w:r>
      <w:r w:rsidR="00D71C5F">
        <w:rPr>
          <w:rFonts w:ascii="Times New Roman" w:hAnsi="Times New Roman" w:cs="Times New Roman"/>
          <w:sz w:val="24"/>
          <w:szCs w:val="24"/>
        </w:rPr>
        <w:t xml:space="preserve">pomoći temeljem prijenosa EU sredstava u ovom izvještajnom razdoblju nije bilo. </w:t>
      </w:r>
    </w:p>
    <w:p w14:paraId="0F59E82A" w14:textId="77777777" w:rsidR="00741632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imovine</w:t>
      </w:r>
      <w:r>
        <w:rPr>
          <w:rFonts w:ascii="Times New Roman" w:hAnsi="Times New Roman" w:cs="Times New Roman"/>
          <w:sz w:val="24"/>
          <w:szCs w:val="24"/>
        </w:rPr>
        <w:t xml:space="preserve">  su za </w:t>
      </w:r>
      <w:r w:rsidR="00E060D5">
        <w:rPr>
          <w:rFonts w:ascii="Times New Roman" w:hAnsi="Times New Roman" w:cs="Times New Roman"/>
          <w:sz w:val="24"/>
          <w:szCs w:val="24"/>
        </w:rPr>
        <w:t>25,60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E060D5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u odnosu na na isto razdoblje prošle godine, a u odnosu na planirano su ostvareni </w:t>
      </w:r>
      <w:r w:rsidR="00F8106B">
        <w:rPr>
          <w:rFonts w:ascii="Times New Roman" w:hAnsi="Times New Roman" w:cs="Times New Roman"/>
          <w:sz w:val="24"/>
          <w:szCs w:val="24"/>
        </w:rPr>
        <w:t>40,04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D11382">
        <w:rPr>
          <w:rFonts w:ascii="Times New Roman" w:hAnsi="Times New Roman" w:cs="Times New Roman"/>
          <w:sz w:val="24"/>
          <w:szCs w:val="24"/>
        </w:rPr>
        <w:t xml:space="preserve">Naknade za koncesije na pomorskom dobru, naknade za upotrebu pomorskog dobra, kao i naknade za koncesije za obavljanje javne zdravstvene službe </w:t>
      </w:r>
      <w:r w:rsidR="002222F5">
        <w:rPr>
          <w:rFonts w:ascii="Times New Roman" w:hAnsi="Times New Roman" w:cs="Times New Roman"/>
          <w:sz w:val="24"/>
          <w:szCs w:val="24"/>
        </w:rPr>
        <w:t xml:space="preserve">su povećane. </w:t>
      </w:r>
    </w:p>
    <w:p w14:paraId="19E23E69" w14:textId="4F4F59E8" w:rsidR="008E2D46" w:rsidRDefault="0089452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  <w:r w:rsidR="002542AA">
        <w:rPr>
          <w:rFonts w:ascii="Times New Roman" w:hAnsi="Times New Roman" w:cs="Times New Roman"/>
          <w:sz w:val="24"/>
          <w:szCs w:val="24"/>
        </w:rPr>
        <w:t xml:space="preserve"> od zakupa i iznajmljivanja imovine se odnose na stambene i poslovne prostore, </w:t>
      </w:r>
      <w:r w:rsidR="008E2D46">
        <w:rPr>
          <w:rFonts w:ascii="Times New Roman" w:hAnsi="Times New Roman" w:cs="Times New Roman"/>
          <w:sz w:val="24"/>
          <w:szCs w:val="24"/>
        </w:rPr>
        <w:t>ostvarenje je veće za 63,78% u odnosu na prethodnu godinu</w:t>
      </w:r>
      <w:r w:rsidR="00225405">
        <w:rPr>
          <w:rFonts w:ascii="Times New Roman" w:hAnsi="Times New Roman" w:cs="Times New Roman"/>
          <w:sz w:val="24"/>
          <w:szCs w:val="24"/>
        </w:rPr>
        <w:t xml:space="preserve">, zbog sudske nagodbe kojom je naplaćen dio potraživanja za najam poslovnog prostora, partner Poljotehna d.o.o. </w:t>
      </w:r>
      <w:r w:rsidR="00965D8B">
        <w:rPr>
          <w:rFonts w:ascii="Times New Roman" w:hAnsi="Times New Roman" w:cs="Times New Roman"/>
          <w:sz w:val="24"/>
          <w:szCs w:val="24"/>
        </w:rPr>
        <w:t>Naknade koje se odnose na korištenje prostora elektrana, prihodi su temeljem Ugovora o pravu služnosti – dio čestice u vlasništvu Općine Ston na kojoj je izgrađena jedna od vjetroelektrana</w:t>
      </w:r>
      <w:r w:rsidR="00640DFD">
        <w:rPr>
          <w:rFonts w:ascii="Times New Roman" w:hAnsi="Times New Roman" w:cs="Times New Roman"/>
          <w:sz w:val="24"/>
          <w:szCs w:val="24"/>
        </w:rPr>
        <w:t>, te naknade za javno tlo i naknade za zadržavanje bespravno izgrađenih objekata u prostoru, ostvarene su pribli</w:t>
      </w:r>
      <w:r w:rsidR="00123777">
        <w:rPr>
          <w:rFonts w:ascii="Times New Roman" w:hAnsi="Times New Roman" w:cs="Times New Roman"/>
          <w:sz w:val="24"/>
          <w:szCs w:val="24"/>
        </w:rPr>
        <w:t xml:space="preserve">žno jednako kao u istom izvještajnom razdoblju prethodne godine (š.6423). </w:t>
      </w:r>
    </w:p>
    <w:p w14:paraId="4CB9FFA3" w14:textId="77777777" w:rsidR="008E2D46" w:rsidRDefault="008E2D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4E37B9" w14:textId="77777777" w:rsidR="00824D44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upravnih i administrativnih pristojbi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ostvareni za </w:t>
      </w:r>
      <w:r w:rsidR="00E438FA">
        <w:rPr>
          <w:rFonts w:ascii="Times New Roman" w:hAnsi="Times New Roman" w:cs="Times New Roman"/>
          <w:sz w:val="24"/>
          <w:szCs w:val="24"/>
        </w:rPr>
        <w:t>88,83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E438FA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u odnosu na isto razdoblje prošle godine. </w:t>
      </w:r>
      <w:r w:rsidR="00405329">
        <w:rPr>
          <w:rFonts w:ascii="Times New Roman" w:hAnsi="Times New Roman" w:cs="Times New Roman"/>
          <w:sz w:val="24"/>
          <w:szCs w:val="24"/>
        </w:rPr>
        <w:t xml:space="preserve">Prihodi po posebnim propisima </w:t>
      </w:r>
      <w:r w:rsidR="00924502">
        <w:rPr>
          <w:rFonts w:ascii="Times New Roman" w:hAnsi="Times New Roman" w:cs="Times New Roman"/>
          <w:sz w:val="24"/>
          <w:szCs w:val="24"/>
        </w:rPr>
        <w:t xml:space="preserve">manji su za 24,93%, </w:t>
      </w:r>
      <w:r w:rsidR="00405329">
        <w:rPr>
          <w:rFonts w:ascii="Times New Roman" w:hAnsi="Times New Roman" w:cs="Times New Roman"/>
          <w:sz w:val="24"/>
          <w:szCs w:val="24"/>
        </w:rPr>
        <w:t>ostvarenje od 25.</w:t>
      </w:r>
      <w:r w:rsidR="000C550C">
        <w:rPr>
          <w:rFonts w:ascii="Times New Roman" w:hAnsi="Times New Roman" w:cs="Times New Roman"/>
          <w:sz w:val="24"/>
          <w:szCs w:val="24"/>
        </w:rPr>
        <w:t>673,77€ odnosi se na Općinu Ston</w:t>
      </w:r>
      <w:r w:rsidR="00F87309">
        <w:rPr>
          <w:rFonts w:ascii="Times New Roman" w:hAnsi="Times New Roman" w:cs="Times New Roman"/>
          <w:sz w:val="24"/>
          <w:szCs w:val="24"/>
        </w:rPr>
        <w:t>. S</w:t>
      </w:r>
      <w:r w:rsidR="000C550C">
        <w:rPr>
          <w:rFonts w:ascii="Times New Roman" w:hAnsi="Times New Roman" w:cs="Times New Roman"/>
          <w:sz w:val="24"/>
          <w:szCs w:val="24"/>
        </w:rPr>
        <w:t xml:space="preserve">manjeni su prihodi vodnog gospodarstva </w:t>
      </w:r>
      <w:r w:rsidR="00AB6270">
        <w:rPr>
          <w:rFonts w:ascii="Times New Roman" w:hAnsi="Times New Roman" w:cs="Times New Roman"/>
          <w:sz w:val="24"/>
          <w:szCs w:val="24"/>
        </w:rPr>
        <w:t xml:space="preserve">(vodni doprinos) i prihodi koji se odnose na sufinanciranje vode od strane Ministarstva regionalnog razvoja i materijalnih troškova Hrvatskih voda (naplata naknade za uređenje voda). </w:t>
      </w:r>
    </w:p>
    <w:p w14:paraId="315828B8" w14:textId="2E115A84" w:rsidR="007712EC" w:rsidRDefault="00FE7F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od 27.715,39€ odnosi se na PK Dječji vrtić Ston,</w:t>
      </w:r>
      <w:r w:rsidR="002564AB">
        <w:rPr>
          <w:rFonts w:ascii="Times New Roman" w:hAnsi="Times New Roman" w:cs="Times New Roman"/>
          <w:sz w:val="24"/>
          <w:szCs w:val="24"/>
        </w:rPr>
        <w:t xml:space="preserve"> </w:t>
      </w:r>
      <w:r w:rsidR="00AD5686">
        <w:rPr>
          <w:rFonts w:ascii="Times New Roman" w:hAnsi="Times New Roman" w:cs="Times New Roman"/>
          <w:sz w:val="24"/>
          <w:szCs w:val="24"/>
        </w:rPr>
        <w:t xml:space="preserve">a radi se o sufinanciranju cijene vrtića od strane roditelja (korisnika). </w:t>
      </w:r>
      <w:r w:rsidR="006A0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CB5F9" w14:textId="0DC8855E" w:rsidR="006A07BE" w:rsidRDefault="00AD07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Naplate komunalnog doprinosa u prethodnom izvještajnom razdoblju nije bilo, sada je ostvarenje u iznosu od 126.227,78€</w:t>
      </w:r>
      <w:r w:rsidR="00E81148">
        <w:rPr>
          <w:rFonts w:ascii="Times New Roman" w:hAnsi="Times New Roman" w:cs="Times New Roman"/>
          <w:sz w:val="24"/>
          <w:szCs w:val="24"/>
        </w:rPr>
        <w:t>. Bilo je dostavljenih pravomoćnih građevinskih dozvola i rješenja o izvedenom stanju, najveći dio prihoda za komunalni doprinos odnosi se na uplatu komunalnog doprinosa za izgradnju trgovačkog centra</w:t>
      </w:r>
      <w:r w:rsidR="00EB0583">
        <w:rPr>
          <w:rFonts w:ascii="Times New Roman" w:hAnsi="Times New Roman" w:cs="Times New Roman"/>
          <w:sz w:val="24"/>
          <w:szCs w:val="24"/>
        </w:rPr>
        <w:t xml:space="preserve"> Plodine. Stavka komunalne naknade ostvarena je u nešto manjem iznosu u odnosu na isto izvještajno razdoblje prethodne godine. </w:t>
      </w:r>
    </w:p>
    <w:p w14:paraId="081A02CF" w14:textId="297E93A6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prodaje proizvoda i robe te pruženih usluga i prihodi od donacija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ostvareni su za </w:t>
      </w:r>
      <w:r w:rsidR="001F1EAF">
        <w:rPr>
          <w:rFonts w:ascii="Times New Roman" w:hAnsi="Times New Roman" w:cs="Times New Roman"/>
          <w:sz w:val="24"/>
          <w:szCs w:val="24"/>
        </w:rPr>
        <w:t>82,86</w:t>
      </w:r>
      <w:r>
        <w:rPr>
          <w:rFonts w:ascii="Times New Roman" w:hAnsi="Times New Roman" w:cs="Times New Roman"/>
          <w:sz w:val="24"/>
          <w:szCs w:val="24"/>
        </w:rPr>
        <w:t xml:space="preserve">% manje u odnosu na isto razdoblje prošle godine. </w:t>
      </w:r>
      <w:r w:rsidR="001E772E">
        <w:rPr>
          <w:rFonts w:ascii="Times New Roman" w:hAnsi="Times New Roman" w:cs="Times New Roman"/>
          <w:sz w:val="24"/>
          <w:szCs w:val="24"/>
        </w:rPr>
        <w:t xml:space="preserve">Iznos od </w:t>
      </w:r>
      <w:r w:rsidR="00246CBE">
        <w:rPr>
          <w:rFonts w:ascii="Times New Roman" w:hAnsi="Times New Roman" w:cs="Times New Roman"/>
          <w:sz w:val="24"/>
          <w:szCs w:val="24"/>
        </w:rPr>
        <w:t xml:space="preserve">13.710,61€ odnosi se na Općinu Ston. Radi se o ostvarenim prihodima od pruženih usluga </w:t>
      </w:r>
      <w:r w:rsidR="00DF6921">
        <w:rPr>
          <w:rFonts w:ascii="Times New Roman" w:hAnsi="Times New Roman" w:cs="Times New Roman"/>
          <w:sz w:val="24"/>
          <w:szCs w:val="24"/>
        </w:rPr>
        <w:t xml:space="preserve">dovoza pitke vode domaćinstvima. Ostvarenje je približno isto kao u istom izvještajnom razdoblju prethodne godine. </w:t>
      </w:r>
      <w:r w:rsidR="00AA6676">
        <w:rPr>
          <w:rFonts w:ascii="Times New Roman" w:hAnsi="Times New Roman" w:cs="Times New Roman"/>
          <w:sz w:val="24"/>
          <w:szCs w:val="24"/>
        </w:rPr>
        <w:t xml:space="preserve">Tekuće donacije nisu zabilježene u ovom izvještajnom razdoblju. </w:t>
      </w:r>
      <w:r w:rsidR="00AC3B9E">
        <w:rPr>
          <w:rFonts w:ascii="Times New Roman" w:hAnsi="Times New Roman" w:cs="Times New Roman"/>
          <w:sz w:val="24"/>
          <w:szCs w:val="24"/>
        </w:rPr>
        <w:t>Kod proračunskog korisnika</w:t>
      </w:r>
      <w:r w:rsidR="00AA6676">
        <w:rPr>
          <w:rFonts w:ascii="Times New Roman" w:hAnsi="Times New Roman" w:cs="Times New Roman"/>
          <w:sz w:val="24"/>
          <w:szCs w:val="24"/>
        </w:rPr>
        <w:t xml:space="preserve"> </w:t>
      </w:r>
      <w:r w:rsidR="00AC3B9E">
        <w:rPr>
          <w:rFonts w:ascii="Times New Roman" w:hAnsi="Times New Roman" w:cs="Times New Roman"/>
          <w:sz w:val="24"/>
          <w:szCs w:val="24"/>
        </w:rPr>
        <w:t>Narodna knjižnica Ston ostvarenje je 207,99€</w:t>
      </w:r>
      <w:r w:rsidR="006E3937">
        <w:rPr>
          <w:rFonts w:ascii="Times New Roman" w:hAnsi="Times New Roman" w:cs="Times New Roman"/>
          <w:sz w:val="24"/>
          <w:szCs w:val="24"/>
        </w:rPr>
        <w:t xml:space="preserve">, više nego </w:t>
      </w:r>
      <w:r w:rsidR="00B133BB">
        <w:rPr>
          <w:rFonts w:ascii="Times New Roman" w:hAnsi="Times New Roman" w:cs="Times New Roman"/>
          <w:sz w:val="24"/>
          <w:szCs w:val="24"/>
        </w:rPr>
        <w:t xml:space="preserve">u istom promatranom razdoblju prethodne godine. Na rast prihoda </w:t>
      </w:r>
      <w:r w:rsidR="00664982">
        <w:rPr>
          <w:rFonts w:ascii="Times New Roman" w:hAnsi="Times New Roman" w:cs="Times New Roman"/>
          <w:sz w:val="24"/>
          <w:szCs w:val="24"/>
        </w:rPr>
        <w:t xml:space="preserve">proračunskog korisnika koji se odnose na prihode </w:t>
      </w:r>
      <w:r w:rsidR="00B133BB">
        <w:rPr>
          <w:rFonts w:ascii="Times New Roman" w:hAnsi="Times New Roman" w:cs="Times New Roman"/>
          <w:sz w:val="24"/>
          <w:szCs w:val="24"/>
        </w:rPr>
        <w:t xml:space="preserve">od prodaje proizvoda i robe te pruženih usluga utjecalo je uvećanje prihoda od pruženih usluga koje nisu zabilježene prethodne 2024.godine. </w:t>
      </w:r>
    </w:p>
    <w:p w14:paraId="68EA6C9B" w14:textId="56BFA6C8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Kazne, upravne mjere i ostali prihodi</w:t>
      </w:r>
      <w:r>
        <w:rPr>
          <w:rFonts w:ascii="Times New Roman" w:hAnsi="Times New Roman" w:cs="Times New Roman"/>
          <w:sz w:val="24"/>
          <w:szCs w:val="24"/>
        </w:rPr>
        <w:t xml:space="preserve"> je ostvarenje u iznosu od </w:t>
      </w:r>
      <w:r w:rsidR="002E5389">
        <w:rPr>
          <w:rFonts w:ascii="Times New Roman" w:hAnsi="Times New Roman" w:cs="Times New Roman"/>
          <w:sz w:val="24"/>
          <w:szCs w:val="24"/>
        </w:rPr>
        <w:t>225,00</w:t>
      </w:r>
      <w:r>
        <w:rPr>
          <w:rFonts w:ascii="Times New Roman" w:hAnsi="Times New Roman" w:cs="Times New Roman"/>
          <w:sz w:val="24"/>
          <w:szCs w:val="24"/>
        </w:rPr>
        <w:t xml:space="preserve">€. </w:t>
      </w:r>
      <w:r w:rsidR="002E5389">
        <w:rPr>
          <w:rFonts w:ascii="Times New Roman" w:hAnsi="Times New Roman" w:cs="Times New Roman"/>
          <w:sz w:val="24"/>
          <w:szCs w:val="24"/>
        </w:rPr>
        <w:t>Manje je naplaćenih kazni po rješenju komunalnog redara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262A87" w14:textId="77777777" w:rsidR="00E9036E" w:rsidRDefault="00E903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55300" w14:textId="64CE0115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  <w:r>
        <w:rPr>
          <w:rFonts w:ascii="Times New Roman" w:hAnsi="Times New Roman" w:cs="Times New Roman"/>
          <w:sz w:val="24"/>
          <w:szCs w:val="24"/>
        </w:rPr>
        <w:t xml:space="preserve"> je ostvarenje </w:t>
      </w:r>
      <w:r w:rsidR="009B664D">
        <w:rPr>
          <w:rFonts w:ascii="Times New Roman" w:hAnsi="Times New Roman" w:cs="Times New Roman"/>
          <w:sz w:val="24"/>
          <w:szCs w:val="24"/>
        </w:rPr>
        <w:t>67,36</w:t>
      </w:r>
      <w:r>
        <w:rPr>
          <w:rFonts w:ascii="Times New Roman" w:hAnsi="Times New Roman" w:cs="Times New Roman"/>
          <w:sz w:val="24"/>
          <w:szCs w:val="24"/>
        </w:rPr>
        <w:t xml:space="preserve">% u odnosu na isto izvještajno razdoblje prethodne godine, a u odnosu na plan ostvareno je </w:t>
      </w:r>
      <w:r w:rsidR="009B664D">
        <w:rPr>
          <w:rFonts w:ascii="Times New Roman" w:hAnsi="Times New Roman" w:cs="Times New Roman"/>
          <w:sz w:val="24"/>
          <w:szCs w:val="24"/>
        </w:rPr>
        <w:t>3,19</w:t>
      </w:r>
      <w:r>
        <w:rPr>
          <w:rFonts w:ascii="Times New Roman" w:hAnsi="Times New Roman" w:cs="Times New Roman"/>
          <w:sz w:val="24"/>
          <w:szCs w:val="24"/>
        </w:rPr>
        <w:t xml:space="preserve">%. Radi se o sve manje prihoda od prodaje (otplate stanova) jer je sve više stanova otplaćeno u cijelosti. (Domouprava Dubrovnik – stanovi bivše Općine Dubrovnik). </w:t>
      </w:r>
      <w:r w:rsidR="00A51B6A">
        <w:rPr>
          <w:rFonts w:ascii="Times New Roman" w:hAnsi="Times New Roman" w:cs="Times New Roman"/>
          <w:sz w:val="24"/>
          <w:szCs w:val="24"/>
        </w:rPr>
        <w:t xml:space="preserve">Navedeno se odnosi na Općinu Ston, ne na njene proračunske korisnike. </w:t>
      </w:r>
    </w:p>
    <w:p w14:paraId="585DCE90" w14:textId="77777777" w:rsidR="00A10338" w:rsidRDefault="00A103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95234D" w14:textId="77777777" w:rsidR="001C2878" w:rsidRDefault="001C287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A408F" w14:textId="0CBF6A12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su za 22,</w:t>
      </w:r>
      <w:r w:rsidR="00780E3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% veći u odnosu na isto razdoblje prošle godine. Veći su rashodi za zaposlene, materijalni rashodi, </w:t>
      </w:r>
      <w:r w:rsidR="0039604E">
        <w:rPr>
          <w:rFonts w:ascii="Times New Roman" w:hAnsi="Times New Roman" w:cs="Times New Roman"/>
          <w:sz w:val="24"/>
          <w:szCs w:val="24"/>
        </w:rPr>
        <w:t xml:space="preserve">rashodi vezani za subvencije, </w:t>
      </w:r>
      <w:r w:rsidR="006B5AE8">
        <w:rPr>
          <w:rFonts w:ascii="Times New Roman" w:hAnsi="Times New Roman" w:cs="Times New Roman"/>
          <w:sz w:val="24"/>
          <w:szCs w:val="24"/>
        </w:rPr>
        <w:t>naknade građanima i kućanstvima, kao i pomoći dane u inozemstvo i unutar općeg proračuna</w:t>
      </w:r>
      <w:r w:rsidR="000F36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manji su </w:t>
      </w:r>
      <w:r w:rsidR="0039604E">
        <w:rPr>
          <w:rFonts w:ascii="Times New Roman" w:hAnsi="Times New Roman" w:cs="Times New Roman"/>
          <w:sz w:val="24"/>
          <w:szCs w:val="24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1B640C" w14:textId="1F1B6556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plan rashodi poslovanja su ostvareni 35,57%. </w:t>
      </w:r>
    </w:p>
    <w:p w14:paraId="54584CFF" w14:textId="6B943D08" w:rsidR="003223A3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Rashodi za zaposlene</w:t>
      </w:r>
      <w:r>
        <w:rPr>
          <w:rFonts w:ascii="Times New Roman" w:hAnsi="Times New Roman" w:cs="Times New Roman"/>
          <w:sz w:val="24"/>
          <w:szCs w:val="24"/>
        </w:rPr>
        <w:t xml:space="preserve"> su za </w:t>
      </w:r>
      <w:r w:rsidR="005779F2">
        <w:rPr>
          <w:rFonts w:ascii="Times New Roman" w:hAnsi="Times New Roman" w:cs="Times New Roman"/>
          <w:sz w:val="24"/>
          <w:szCs w:val="24"/>
        </w:rPr>
        <w:t>43,01</w:t>
      </w:r>
      <w:r>
        <w:rPr>
          <w:rFonts w:ascii="Times New Roman" w:hAnsi="Times New Roman" w:cs="Times New Roman"/>
          <w:sz w:val="24"/>
          <w:szCs w:val="24"/>
        </w:rPr>
        <w:t xml:space="preserve">% veći u odnosu na isto razdoblje prošle godine, a u odnosu na planirano, ostvareni su </w:t>
      </w:r>
      <w:r w:rsidR="005779F2">
        <w:rPr>
          <w:rFonts w:ascii="Times New Roman" w:hAnsi="Times New Roman" w:cs="Times New Roman"/>
          <w:sz w:val="24"/>
          <w:szCs w:val="24"/>
        </w:rPr>
        <w:t>45,64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3223A3">
        <w:rPr>
          <w:rFonts w:ascii="Times New Roman" w:hAnsi="Times New Roman" w:cs="Times New Roman"/>
          <w:sz w:val="24"/>
          <w:szCs w:val="24"/>
        </w:rPr>
        <w:t xml:space="preserve">Plaće su povećane za </w:t>
      </w:r>
      <w:r w:rsidR="00A14FF4">
        <w:rPr>
          <w:rFonts w:ascii="Times New Roman" w:hAnsi="Times New Roman" w:cs="Times New Roman"/>
          <w:sz w:val="24"/>
          <w:szCs w:val="24"/>
        </w:rPr>
        <w:t xml:space="preserve">45,66% zbog promjene osnovice za obračun plaće u 02/2025. Osnovica se također mijenjala i kod oba proračunska korisnika. </w:t>
      </w:r>
      <w:r w:rsidR="00A24761">
        <w:rPr>
          <w:rFonts w:ascii="Times New Roman" w:hAnsi="Times New Roman" w:cs="Times New Roman"/>
          <w:sz w:val="24"/>
          <w:szCs w:val="24"/>
        </w:rPr>
        <w:t xml:space="preserve">Na projektu ''Zaželi'' </w:t>
      </w:r>
      <w:r w:rsidR="00AE0D02">
        <w:rPr>
          <w:rFonts w:ascii="Times New Roman" w:hAnsi="Times New Roman" w:cs="Times New Roman"/>
          <w:sz w:val="24"/>
          <w:szCs w:val="24"/>
        </w:rPr>
        <w:t xml:space="preserve">su zaposlene 4 djelatnice kojih u dijelu izvještajnog razdoblja prethodne godine nije bilo. </w:t>
      </w:r>
      <w:r w:rsidR="002C24B9">
        <w:rPr>
          <w:rFonts w:ascii="Times New Roman" w:hAnsi="Times New Roman" w:cs="Times New Roman"/>
          <w:sz w:val="24"/>
          <w:szCs w:val="24"/>
        </w:rPr>
        <w:t>U JUO Općine Ston nije bila zaposlena djelatnica (zaposlenje srpanj 2024.)</w:t>
      </w:r>
      <w:r w:rsidR="00715689">
        <w:rPr>
          <w:rFonts w:ascii="Times New Roman" w:hAnsi="Times New Roman" w:cs="Times New Roman"/>
          <w:sz w:val="24"/>
          <w:szCs w:val="24"/>
        </w:rPr>
        <w:t>. Znatno manje je bilo troškova za prekovremeni rad, jer nije bilo potrebe za istim. Kod PK Narodna knjižnica Ston je zaposlena nova djelatnica u svibnju prethodne godine.</w:t>
      </w:r>
      <w:r w:rsidR="00923AD7">
        <w:rPr>
          <w:rFonts w:ascii="Times New Roman" w:hAnsi="Times New Roman" w:cs="Times New Roman"/>
          <w:sz w:val="24"/>
          <w:szCs w:val="24"/>
        </w:rPr>
        <w:t xml:space="preserve"> Također, povećani su i ostali rashodi za zaposlene, koji se odnose na isplaćivane naknade zaposlenima za prehranu, sukladno Odluci. Navedeno se odnosi i na oba proračunska korisnika.</w:t>
      </w:r>
    </w:p>
    <w:p w14:paraId="19C61AA7" w14:textId="09529D53" w:rsidR="00834987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 xml:space="preserve"> su ostvareni </w:t>
      </w:r>
      <w:r w:rsidR="005A5A83">
        <w:rPr>
          <w:rFonts w:ascii="Times New Roman" w:hAnsi="Times New Roman" w:cs="Times New Roman"/>
          <w:sz w:val="24"/>
          <w:szCs w:val="24"/>
        </w:rPr>
        <w:t>0,01</w:t>
      </w:r>
      <w:r>
        <w:rPr>
          <w:rFonts w:ascii="Times New Roman" w:hAnsi="Times New Roman" w:cs="Times New Roman"/>
          <w:sz w:val="24"/>
          <w:szCs w:val="24"/>
        </w:rPr>
        <w:t xml:space="preserve">% više u odnosu na isto razdoblje prošle godine, a u odnosu na plan ostvareni su </w:t>
      </w:r>
      <w:r w:rsidR="005A5A83">
        <w:rPr>
          <w:rFonts w:ascii="Times New Roman" w:hAnsi="Times New Roman" w:cs="Times New Roman"/>
          <w:sz w:val="24"/>
          <w:szCs w:val="24"/>
        </w:rPr>
        <w:t>28,64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F76C90">
        <w:rPr>
          <w:rFonts w:ascii="Times New Roman" w:hAnsi="Times New Roman" w:cs="Times New Roman"/>
          <w:sz w:val="24"/>
          <w:szCs w:val="24"/>
        </w:rPr>
        <w:t>Rashodi za službena putovanja</w:t>
      </w:r>
      <w:r w:rsidR="000203F6">
        <w:rPr>
          <w:rFonts w:ascii="Times New Roman" w:hAnsi="Times New Roman" w:cs="Times New Roman"/>
          <w:sz w:val="24"/>
          <w:szCs w:val="24"/>
        </w:rPr>
        <w:t xml:space="preserve"> su smanjeni, nije bilo potrebe za istim. Povećani su rashodi za</w:t>
      </w:r>
      <w:r w:rsidR="00ED28A1">
        <w:rPr>
          <w:rFonts w:ascii="Times New Roman" w:hAnsi="Times New Roman" w:cs="Times New Roman"/>
          <w:sz w:val="24"/>
          <w:szCs w:val="24"/>
        </w:rPr>
        <w:t xml:space="preserve"> stručno usavršavanje zaposlenika, iz razloga potrebe za edukacijama djelatnika Općine zbog poreznih i računovodstvenih izmjena, odnosno prelaska u sustav riznice. </w:t>
      </w:r>
      <w:r w:rsidR="0008591F">
        <w:rPr>
          <w:rFonts w:ascii="Times New Roman" w:hAnsi="Times New Roman" w:cs="Times New Roman"/>
          <w:sz w:val="24"/>
          <w:szCs w:val="24"/>
        </w:rPr>
        <w:t xml:space="preserve">Povećani su i troškovi uredskog materijala, materijala i dijelova za održavanje (nove cijene na tržištu), </w:t>
      </w:r>
      <w:r w:rsidR="00C564E0">
        <w:rPr>
          <w:rFonts w:ascii="Times New Roman" w:hAnsi="Times New Roman" w:cs="Times New Roman"/>
          <w:sz w:val="24"/>
          <w:szCs w:val="24"/>
        </w:rPr>
        <w:t xml:space="preserve">dok je bilo manje ostvarenih rashoda za sitni inventar i auto gume.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C09">
        <w:rPr>
          <w:rFonts w:ascii="Times New Roman" w:hAnsi="Times New Roman" w:cs="Times New Roman"/>
          <w:sz w:val="24"/>
          <w:szCs w:val="24"/>
        </w:rPr>
        <w:t xml:space="preserve">Kod PK Dječji vrtić Ston </w:t>
      </w:r>
      <w:r w:rsidR="00C56C78">
        <w:rPr>
          <w:rFonts w:ascii="Times New Roman" w:hAnsi="Times New Roman" w:cs="Times New Roman"/>
          <w:sz w:val="24"/>
          <w:szCs w:val="24"/>
        </w:rPr>
        <w:t>uvećani su rashodi za materijal i ostali materijalni rashodi (redovno poslovanje, higijenske potrebe i njega, sredstva za čišćenje i održavanje, literatura)</w:t>
      </w:r>
      <w:r w:rsidR="00D92E5D">
        <w:rPr>
          <w:rFonts w:ascii="Times New Roman" w:hAnsi="Times New Roman" w:cs="Times New Roman"/>
          <w:sz w:val="24"/>
          <w:szCs w:val="24"/>
        </w:rPr>
        <w:t xml:space="preserve">, dok su smanjeni </w:t>
      </w:r>
      <w:r w:rsidR="00360F60">
        <w:rPr>
          <w:rFonts w:ascii="Times New Roman" w:hAnsi="Times New Roman" w:cs="Times New Roman"/>
          <w:sz w:val="24"/>
          <w:szCs w:val="24"/>
        </w:rPr>
        <w:t>rashodi za sitni inventar i energiju.</w:t>
      </w:r>
      <w:r w:rsidR="00574D6D">
        <w:rPr>
          <w:rFonts w:ascii="Times New Roman" w:hAnsi="Times New Roman" w:cs="Times New Roman"/>
          <w:sz w:val="24"/>
          <w:szCs w:val="24"/>
        </w:rPr>
        <w:t xml:space="preserve"> </w:t>
      </w:r>
      <w:r w:rsidR="00442831">
        <w:rPr>
          <w:rFonts w:ascii="Times New Roman" w:hAnsi="Times New Roman" w:cs="Times New Roman"/>
          <w:sz w:val="24"/>
          <w:szCs w:val="24"/>
        </w:rPr>
        <w:t xml:space="preserve">Što se tiče rashoda za usluge, povećani su rashodi za </w:t>
      </w:r>
      <w:r w:rsidR="00AD3C14">
        <w:rPr>
          <w:rFonts w:ascii="Times New Roman" w:hAnsi="Times New Roman" w:cs="Times New Roman"/>
          <w:sz w:val="24"/>
          <w:szCs w:val="24"/>
        </w:rPr>
        <w:t xml:space="preserve">promidžbu i informiranje, komunalne usluge, zdravstvene i veterinarske usluge, kao i računalne (sve iz razloga </w:t>
      </w:r>
      <w:r w:rsidR="00574641">
        <w:rPr>
          <w:rFonts w:ascii="Times New Roman" w:hAnsi="Times New Roman" w:cs="Times New Roman"/>
          <w:sz w:val="24"/>
          <w:szCs w:val="24"/>
        </w:rPr>
        <w:t>novih cijena na tržištu). Rashodi za zakupnine i najamnine</w:t>
      </w:r>
      <w:r w:rsidR="00196BC4">
        <w:rPr>
          <w:rFonts w:ascii="Times New Roman" w:hAnsi="Times New Roman" w:cs="Times New Roman"/>
          <w:sz w:val="24"/>
          <w:szCs w:val="24"/>
        </w:rPr>
        <w:t xml:space="preserve"> su manje, odnose se na najam aparata za vodu u općinskim prostorijama, najam prostora </w:t>
      </w:r>
      <w:r w:rsidR="00ED75EB">
        <w:rPr>
          <w:rFonts w:ascii="Times New Roman" w:hAnsi="Times New Roman" w:cs="Times New Roman"/>
          <w:sz w:val="24"/>
          <w:szCs w:val="24"/>
        </w:rPr>
        <w:t>za održavanje lokalnih izbora, kao i najam wc kabina za Dane malostonske kamenice.</w:t>
      </w:r>
      <w:r w:rsidR="008B7B27">
        <w:rPr>
          <w:rFonts w:ascii="Times New Roman" w:hAnsi="Times New Roman" w:cs="Times New Roman"/>
          <w:sz w:val="24"/>
          <w:szCs w:val="24"/>
        </w:rPr>
        <w:t xml:space="preserve"> </w:t>
      </w:r>
      <w:r w:rsidR="006F0566">
        <w:rPr>
          <w:rFonts w:ascii="Times New Roman" w:hAnsi="Times New Roman" w:cs="Times New Roman"/>
          <w:sz w:val="24"/>
          <w:szCs w:val="24"/>
        </w:rPr>
        <w:t>Kod PK Narodna knjižnica Ston na rast rashoda za usluge utjecalo je ostvarenje rashoda za</w:t>
      </w:r>
      <w:r w:rsidR="008A0534">
        <w:rPr>
          <w:rFonts w:ascii="Times New Roman" w:hAnsi="Times New Roman" w:cs="Times New Roman"/>
          <w:sz w:val="24"/>
          <w:szCs w:val="24"/>
        </w:rPr>
        <w:t xml:space="preserve"> usluge tekućeg i investicijskog održavanja, koji nisu bili zabilježeni u izvještajnom razdoblju prethodne godine. </w:t>
      </w:r>
      <w:r w:rsidR="005E65CE">
        <w:rPr>
          <w:rFonts w:ascii="Times New Roman" w:hAnsi="Times New Roman" w:cs="Times New Roman"/>
          <w:sz w:val="24"/>
          <w:szCs w:val="24"/>
        </w:rPr>
        <w:t xml:space="preserve">Uvećani su im i rashodi za intelektualne i osobne usluge te računalne usluge. </w:t>
      </w:r>
      <w:r w:rsidR="00665E33">
        <w:rPr>
          <w:rFonts w:ascii="Times New Roman" w:hAnsi="Times New Roman" w:cs="Times New Roman"/>
          <w:sz w:val="24"/>
          <w:szCs w:val="24"/>
        </w:rPr>
        <w:t>PK Dječji vrtić Ston bilježi manje rashode za tekuće i investicijsko održavanje, promidžbu i informiranje</w:t>
      </w:r>
      <w:r w:rsidR="004728B2">
        <w:rPr>
          <w:rFonts w:ascii="Times New Roman" w:hAnsi="Times New Roman" w:cs="Times New Roman"/>
          <w:sz w:val="24"/>
          <w:szCs w:val="24"/>
        </w:rPr>
        <w:t xml:space="preserve">, zdravstvene usluge odnosno obvezni i preventivni pregledi zaposlenih. Povećani su rashodi za </w:t>
      </w:r>
      <w:r w:rsidR="00025381">
        <w:rPr>
          <w:rFonts w:ascii="Times New Roman" w:hAnsi="Times New Roman" w:cs="Times New Roman"/>
          <w:sz w:val="24"/>
          <w:szCs w:val="24"/>
        </w:rPr>
        <w:t xml:space="preserve">telefon, internet, poštu , kao i rashodi za komunalne usluge (dimnjačarske usluge, deratizacija i dezinsekcija, odvoz smeća i opskrba vodom). </w:t>
      </w:r>
    </w:p>
    <w:p w14:paraId="4967C58B" w14:textId="708A59A6" w:rsidR="00A014B9" w:rsidRDefault="00C26A1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se tiče o</w:t>
      </w:r>
      <w:r w:rsidR="00D60A67">
        <w:rPr>
          <w:rFonts w:ascii="Times New Roman" w:hAnsi="Times New Roman" w:cs="Times New Roman"/>
          <w:sz w:val="24"/>
          <w:szCs w:val="24"/>
        </w:rPr>
        <w:t>stali</w:t>
      </w:r>
      <w:r>
        <w:rPr>
          <w:rFonts w:ascii="Times New Roman" w:hAnsi="Times New Roman" w:cs="Times New Roman"/>
          <w:sz w:val="24"/>
          <w:szCs w:val="24"/>
        </w:rPr>
        <w:t>h</w:t>
      </w:r>
      <w:r w:rsidR="00D60A67">
        <w:rPr>
          <w:rFonts w:ascii="Times New Roman" w:hAnsi="Times New Roman" w:cs="Times New Roman"/>
          <w:sz w:val="24"/>
          <w:szCs w:val="24"/>
        </w:rPr>
        <w:t xml:space="preserve"> nespomenuti</w:t>
      </w:r>
      <w:r>
        <w:rPr>
          <w:rFonts w:ascii="Times New Roman" w:hAnsi="Times New Roman" w:cs="Times New Roman"/>
          <w:sz w:val="24"/>
          <w:szCs w:val="24"/>
        </w:rPr>
        <w:t>h</w:t>
      </w:r>
      <w:r w:rsidR="00D60A67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0A67">
        <w:rPr>
          <w:rFonts w:ascii="Times New Roman" w:hAnsi="Times New Roman" w:cs="Times New Roman"/>
          <w:sz w:val="24"/>
          <w:szCs w:val="24"/>
        </w:rPr>
        <w:t xml:space="preserve"> poslovanja, kod Općine su povećani troškovi za reprezentaciju ( proslava manifestacije Dani malostonske kamenice koja je trajala 5 dana i festa sv.Vlaha)</w:t>
      </w:r>
      <w:r w:rsidR="00BB4276">
        <w:rPr>
          <w:rFonts w:ascii="Times New Roman" w:hAnsi="Times New Roman" w:cs="Times New Roman"/>
          <w:sz w:val="24"/>
          <w:szCs w:val="24"/>
        </w:rPr>
        <w:t xml:space="preserve"> i članarine (LAG). Rashoda za troškove sudskih postupaka u ovom izvještajnom razdoblju nije bilo, u prethodnom smo imale isplate naknade po presudi Upravnog suda u Splitu, a vezano za </w:t>
      </w:r>
      <w:r w:rsidR="00E01695">
        <w:rPr>
          <w:rFonts w:ascii="Times New Roman" w:hAnsi="Times New Roman" w:cs="Times New Roman"/>
          <w:sz w:val="24"/>
          <w:szCs w:val="24"/>
        </w:rPr>
        <w:t xml:space="preserve">deposedirano zemljište Prapratno. Naknade za rad predstavničkih i izvršnih tijela bilježi rashode u ovom izvještajnom razdoblju, zbog </w:t>
      </w:r>
      <w:r w:rsidR="00D62B74">
        <w:rPr>
          <w:rFonts w:ascii="Times New Roman" w:hAnsi="Times New Roman" w:cs="Times New Roman"/>
          <w:sz w:val="24"/>
          <w:szCs w:val="24"/>
        </w:rPr>
        <w:t>održana 2 kruga lokalnih izbora, shodno tome isplaćene su naknade za rad i obračunati su doprinosi. Kod PK Narodna knjižnica Ston, uvećani su rashodi za reprezentaciju. PK Dječji vrtić Ston</w:t>
      </w:r>
      <w:r w:rsidR="00EA3955">
        <w:rPr>
          <w:rFonts w:ascii="Times New Roman" w:hAnsi="Times New Roman" w:cs="Times New Roman"/>
          <w:sz w:val="24"/>
          <w:szCs w:val="24"/>
        </w:rPr>
        <w:t xml:space="preserve"> bilježi rashode za pristojbe i naknade u istom iznosu kao prethodne godine. </w:t>
      </w:r>
    </w:p>
    <w:p w14:paraId="1A1941D4" w14:textId="22B34682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 xml:space="preserve"> su ostvareni za </w:t>
      </w:r>
      <w:r w:rsidR="00BB2917">
        <w:rPr>
          <w:rFonts w:ascii="Times New Roman" w:hAnsi="Times New Roman" w:cs="Times New Roman"/>
          <w:sz w:val="24"/>
          <w:szCs w:val="24"/>
        </w:rPr>
        <w:t>37,08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BB2917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isto razdoblje prošle godine, a u odnosu na plan ostvareni su </w:t>
      </w:r>
      <w:r w:rsidR="004368DE">
        <w:rPr>
          <w:rFonts w:ascii="Times New Roman" w:hAnsi="Times New Roman" w:cs="Times New Roman"/>
          <w:sz w:val="24"/>
          <w:szCs w:val="24"/>
        </w:rPr>
        <w:t>30,96</w:t>
      </w:r>
      <w:r>
        <w:rPr>
          <w:rFonts w:ascii="Times New Roman" w:hAnsi="Times New Roman" w:cs="Times New Roman"/>
          <w:sz w:val="24"/>
          <w:szCs w:val="24"/>
        </w:rPr>
        <w:t xml:space="preserve">%. Radi se o </w:t>
      </w:r>
      <w:r w:rsidR="00E056A3">
        <w:rPr>
          <w:rFonts w:ascii="Times New Roman" w:hAnsi="Times New Roman" w:cs="Times New Roman"/>
          <w:sz w:val="24"/>
          <w:szCs w:val="24"/>
        </w:rPr>
        <w:t>manjim</w:t>
      </w:r>
      <w:r>
        <w:rPr>
          <w:rFonts w:ascii="Times New Roman" w:hAnsi="Times New Roman" w:cs="Times New Roman"/>
          <w:sz w:val="24"/>
          <w:szCs w:val="24"/>
        </w:rPr>
        <w:t xml:space="preserve"> rashodima za kamate na korištenje prekoračenja na žiro računu</w:t>
      </w:r>
      <w:r w:rsidR="00402453">
        <w:rPr>
          <w:rFonts w:ascii="Times New Roman" w:hAnsi="Times New Roman" w:cs="Times New Roman"/>
          <w:sz w:val="24"/>
          <w:szCs w:val="24"/>
        </w:rPr>
        <w:t xml:space="preserve">. Ostvarenje je na stavci </w:t>
      </w:r>
      <w:r w:rsidR="00BB0A92">
        <w:rPr>
          <w:rFonts w:ascii="Times New Roman" w:hAnsi="Times New Roman" w:cs="Times New Roman"/>
          <w:sz w:val="24"/>
          <w:szCs w:val="24"/>
        </w:rPr>
        <w:t>kamata za primljene zajmove, odno</w:t>
      </w:r>
      <w:r w:rsidR="009B2CA0">
        <w:rPr>
          <w:rFonts w:ascii="Times New Roman" w:hAnsi="Times New Roman" w:cs="Times New Roman"/>
          <w:sz w:val="24"/>
          <w:szCs w:val="24"/>
        </w:rPr>
        <w:t>si</w:t>
      </w:r>
      <w:r w:rsidR="00BB0A92">
        <w:rPr>
          <w:rFonts w:ascii="Times New Roman" w:hAnsi="Times New Roman" w:cs="Times New Roman"/>
          <w:sz w:val="24"/>
          <w:szCs w:val="24"/>
        </w:rPr>
        <w:t xml:space="preserve"> se na primljene zajmo</w:t>
      </w:r>
      <w:r w:rsidR="00E12E5C">
        <w:rPr>
          <w:rFonts w:ascii="Times New Roman" w:hAnsi="Times New Roman" w:cs="Times New Roman"/>
          <w:sz w:val="24"/>
          <w:szCs w:val="24"/>
        </w:rPr>
        <w:t xml:space="preserve">ve Općine Trpanj i Komunalnog društva Ston u svrhu zatvaranja kredita. Zajam je vraćen u ovom izvještajnom razdoblju. Navedeno se odnosi samo na Općinu Ston. </w:t>
      </w:r>
    </w:p>
    <w:p w14:paraId="55FF259A" w14:textId="40F00C4B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Subvencije </w:t>
      </w:r>
      <w:r>
        <w:rPr>
          <w:rFonts w:ascii="Times New Roman" w:hAnsi="Times New Roman" w:cs="Times New Roman"/>
          <w:sz w:val="24"/>
          <w:szCs w:val="24"/>
        </w:rPr>
        <w:t xml:space="preserve">su za </w:t>
      </w:r>
      <w:r w:rsidR="00C40073">
        <w:rPr>
          <w:rFonts w:ascii="Times New Roman" w:hAnsi="Times New Roman" w:cs="Times New Roman"/>
          <w:sz w:val="24"/>
          <w:szCs w:val="24"/>
        </w:rPr>
        <w:t>107,65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C40073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u odnosu na isto razdoblje prošle godine, </w:t>
      </w:r>
      <w:r w:rsidR="004464D3">
        <w:rPr>
          <w:rFonts w:ascii="Times New Roman" w:hAnsi="Times New Roman" w:cs="Times New Roman"/>
          <w:sz w:val="24"/>
          <w:szCs w:val="24"/>
        </w:rPr>
        <w:t xml:space="preserve">a u odnosu na plan ostvareno je 44,14%. </w:t>
      </w:r>
      <w:r w:rsidR="00C358B4">
        <w:rPr>
          <w:rFonts w:ascii="Times New Roman" w:hAnsi="Times New Roman" w:cs="Times New Roman"/>
          <w:sz w:val="24"/>
          <w:szCs w:val="24"/>
        </w:rPr>
        <w:t>Subvencije se odnos</w:t>
      </w:r>
      <w:r w:rsidR="00AA6676">
        <w:rPr>
          <w:rFonts w:ascii="Times New Roman" w:hAnsi="Times New Roman" w:cs="Times New Roman"/>
          <w:sz w:val="24"/>
          <w:szCs w:val="24"/>
        </w:rPr>
        <w:t>e</w:t>
      </w:r>
      <w:r w:rsidR="00C358B4">
        <w:rPr>
          <w:rFonts w:ascii="Times New Roman" w:hAnsi="Times New Roman" w:cs="Times New Roman"/>
          <w:sz w:val="24"/>
          <w:szCs w:val="24"/>
        </w:rPr>
        <w:t xml:space="preserve"> na trgovačko društvo J.P Libertas Dubrovnik, sukladno primljenim zahtjevima, kao </w:t>
      </w:r>
      <w:r w:rsidR="00995F4E">
        <w:rPr>
          <w:rFonts w:ascii="Times New Roman" w:hAnsi="Times New Roman" w:cs="Times New Roman"/>
          <w:sz w:val="24"/>
          <w:szCs w:val="24"/>
        </w:rPr>
        <w:t xml:space="preserve">i na Razvoju agenciju Stona Rast d.o.o., za potrebe redovnog poslovanja. </w:t>
      </w:r>
      <w:r w:rsidR="00735602">
        <w:rPr>
          <w:rFonts w:ascii="Times New Roman" w:hAnsi="Times New Roman" w:cs="Times New Roman"/>
          <w:sz w:val="24"/>
          <w:szCs w:val="24"/>
        </w:rPr>
        <w:t>Proračunski korisnici Dječji vrtić Ston i Narodna knjižnica Ston u ovom izvještajnom razdoblju ne</w:t>
      </w:r>
      <w:r w:rsidR="009D2F5E">
        <w:rPr>
          <w:rFonts w:ascii="Times New Roman" w:hAnsi="Times New Roman" w:cs="Times New Roman"/>
          <w:sz w:val="24"/>
          <w:szCs w:val="24"/>
        </w:rPr>
        <w:t xml:space="preserve"> bilježe rashode za subvencije.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258A4" w14:textId="7A1B1A7E" w:rsidR="00A10338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Pomoći dane u inozemstvo i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ima ostvarenje u iznosu od </w:t>
      </w:r>
      <w:r w:rsidR="001513A2">
        <w:rPr>
          <w:rFonts w:ascii="Times New Roman" w:hAnsi="Times New Roman" w:cs="Times New Roman"/>
          <w:sz w:val="24"/>
          <w:szCs w:val="24"/>
        </w:rPr>
        <w:t>50.634,65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903171">
        <w:rPr>
          <w:rFonts w:ascii="Times New Roman" w:hAnsi="Times New Roman" w:cs="Times New Roman"/>
          <w:sz w:val="24"/>
          <w:szCs w:val="24"/>
        </w:rPr>
        <w:t xml:space="preserve">. U odnosu na plan ostvareno je 51,24%. Općina Ston je zabilježila tekuću pomoć Umjetničkoj školi Luke Sorkočevića za međunarodno natjecanje  i tekuću pomoć Osnovnoj školi Ston za putovanje školskog futstal tima na natjecanje. </w:t>
      </w:r>
      <w:r w:rsidR="00C95A0F">
        <w:rPr>
          <w:rFonts w:ascii="Times New Roman" w:hAnsi="Times New Roman" w:cs="Times New Roman"/>
          <w:sz w:val="24"/>
          <w:szCs w:val="24"/>
        </w:rPr>
        <w:t xml:space="preserve">Što se tiče pomoći temeljem prijenosa EU sredstava, </w:t>
      </w:r>
      <w:r w:rsidR="00E836AE">
        <w:rPr>
          <w:rFonts w:ascii="Times New Roman" w:hAnsi="Times New Roman" w:cs="Times New Roman"/>
          <w:sz w:val="24"/>
          <w:szCs w:val="24"/>
        </w:rPr>
        <w:t xml:space="preserve">kojih u izvještajnom </w:t>
      </w:r>
      <w:r w:rsidR="00E836AE">
        <w:rPr>
          <w:rFonts w:ascii="Times New Roman" w:hAnsi="Times New Roman" w:cs="Times New Roman"/>
          <w:sz w:val="24"/>
          <w:szCs w:val="24"/>
        </w:rPr>
        <w:lastRenderedPageBreak/>
        <w:t xml:space="preserve">razdoblju prethodne godine nije bilo, Općini predstavlja refundaciju troškova za plaće i materijalne troškove prema partnerima u projektu ''Zaželi'' Općini Trpanj i Općini Janjina. </w:t>
      </w:r>
    </w:p>
    <w:p w14:paraId="0E468840" w14:textId="615B2F60" w:rsidR="00F32065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 xml:space="preserve"> je ostvarenje od </w:t>
      </w:r>
      <w:r w:rsidR="00CA78F2">
        <w:rPr>
          <w:rFonts w:ascii="Times New Roman" w:hAnsi="Times New Roman" w:cs="Times New Roman"/>
          <w:sz w:val="24"/>
          <w:szCs w:val="24"/>
        </w:rPr>
        <w:t>45,57</w:t>
      </w:r>
      <w:r>
        <w:rPr>
          <w:rFonts w:ascii="Times New Roman" w:hAnsi="Times New Roman" w:cs="Times New Roman"/>
          <w:sz w:val="24"/>
          <w:szCs w:val="24"/>
        </w:rPr>
        <w:t xml:space="preserve">% u odnosu na planirano. </w:t>
      </w:r>
      <w:r w:rsidR="00F32065">
        <w:rPr>
          <w:rFonts w:ascii="Times New Roman" w:hAnsi="Times New Roman" w:cs="Times New Roman"/>
          <w:sz w:val="24"/>
          <w:szCs w:val="24"/>
        </w:rPr>
        <w:t>Povećanje rashoda u odnosu na prethodno izvještajno razdoblje se odnosi na više isplaćene naknade za sufinanciranje prijevoza učenicima i studentima</w:t>
      </w:r>
      <w:r w:rsidR="00110128">
        <w:rPr>
          <w:rFonts w:ascii="Times New Roman" w:hAnsi="Times New Roman" w:cs="Times New Roman"/>
          <w:sz w:val="24"/>
          <w:szCs w:val="24"/>
        </w:rPr>
        <w:t xml:space="preserve"> (sukladno dostavljenim zahtjevima i autobusnim kartama), stipendije, jednokratne novčane pomoći kao i naknade za novorođenu djecu. </w:t>
      </w:r>
    </w:p>
    <w:p w14:paraId="01C412B6" w14:textId="3FB0E73A" w:rsidR="00F32065" w:rsidRDefault="00CF44A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4426B">
        <w:rPr>
          <w:rFonts w:ascii="Times New Roman" w:hAnsi="Times New Roman" w:cs="Times New Roman"/>
          <w:b/>
          <w:bCs/>
          <w:sz w:val="24"/>
          <w:szCs w:val="24"/>
        </w:rPr>
        <w:t>Rashodi za donacije, kazne, naknade šteta i kapitalne pomoći</w:t>
      </w:r>
      <w:r w:rsidR="00F4426B">
        <w:rPr>
          <w:rFonts w:ascii="Times New Roman" w:hAnsi="Times New Roman" w:cs="Times New Roman"/>
          <w:sz w:val="24"/>
          <w:szCs w:val="24"/>
        </w:rPr>
        <w:t xml:space="preserve"> je ostvarenje za 20,95% više u odnosu na isto izvještajno razdoblje prethodne godine, a u odnosu na plan ostvareno je </w:t>
      </w:r>
      <w:r w:rsidR="00000619">
        <w:rPr>
          <w:rFonts w:ascii="Times New Roman" w:hAnsi="Times New Roman" w:cs="Times New Roman"/>
          <w:sz w:val="24"/>
          <w:szCs w:val="24"/>
        </w:rPr>
        <w:t xml:space="preserve">37,08%. </w:t>
      </w:r>
      <w:r w:rsidR="00FC2987">
        <w:rPr>
          <w:rFonts w:ascii="Times New Roman" w:hAnsi="Times New Roman" w:cs="Times New Roman"/>
          <w:sz w:val="24"/>
          <w:szCs w:val="24"/>
        </w:rPr>
        <w:t>Tekuće donacije povećane su za 49,97%, radi se o isplatama udrugama u sportu, vatrogastvu, kulturi, vjerskim zajednicama, humanitarnim organizacijama i udrugama umirovljenika s</w:t>
      </w:r>
      <w:r w:rsidR="00D270EC">
        <w:rPr>
          <w:rFonts w:ascii="Times New Roman" w:hAnsi="Times New Roman" w:cs="Times New Roman"/>
          <w:sz w:val="24"/>
          <w:szCs w:val="24"/>
        </w:rPr>
        <w:t>hodno predanim zahtjevima. Ostvarenja nema na stavci kapitalnih donacija</w:t>
      </w:r>
      <w:r w:rsidR="006F4DD0">
        <w:rPr>
          <w:rFonts w:ascii="Times New Roman" w:hAnsi="Times New Roman" w:cs="Times New Roman"/>
          <w:sz w:val="24"/>
          <w:szCs w:val="24"/>
        </w:rPr>
        <w:t xml:space="preserve"> kao ni kapitalnih pomoći</w:t>
      </w:r>
      <w:r w:rsidR="00D270EC">
        <w:rPr>
          <w:rFonts w:ascii="Times New Roman" w:hAnsi="Times New Roman" w:cs="Times New Roman"/>
          <w:sz w:val="24"/>
          <w:szCs w:val="24"/>
        </w:rPr>
        <w:t>, koje su zabilježene</w:t>
      </w:r>
      <w:r w:rsidR="00630BF1">
        <w:rPr>
          <w:rFonts w:ascii="Times New Roman" w:hAnsi="Times New Roman" w:cs="Times New Roman"/>
          <w:sz w:val="24"/>
          <w:szCs w:val="24"/>
        </w:rPr>
        <w:t xml:space="preserve"> prethodne godine u </w:t>
      </w:r>
      <w:r w:rsidR="00AA6676">
        <w:rPr>
          <w:rFonts w:ascii="Times New Roman" w:hAnsi="Times New Roman" w:cs="Times New Roman"/>
          <w:sz w:val="24"/>
          <w:szCs w:val="24"/>
        </w:rPr>
        <w:t>istom</w:t>
      </w:r>
      <w:r w:rsidR="00630BF1">
        <w:rPr>
          <w:rFonts w:ascii="Times New Roman" w:hAnsi="Times New Roman" w:cs="Times New Roman"/>
          <w:sz w:val="24"/>
          <w:szCs w:val="24"/>
        </w:rPr>
        <w:t xml:space="preserve"> izvještajnom razdoblju.  </w:t>
      </w:r>
      <w:r w:rsidR="00C21B02">
        <w:rPr>
          <w:rFonts w:ascii="Times New Roman" w:hAnsi="Times New Roman" w:cs="Times New Roman"/>
          <w:sz w:val="24"/>
          <w:szCs w:val="24"/>
        </w:rPr>
        <w:t xml:space="preserve">Navedeno se odnosi na Općinu Ston. </w:t>
      </w:r>
    </w:p>
    <w:p w14:paraId="4959D476" w14:textId="77777777" w:rsidR="00CF44A9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7058E" w14:textId="07AD052D" w:rsidR="004D6A66" w:rsidRDefault="00EB291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je ostvarenje za </w:t>
      </w:r>
      <w:r w:rsidR="003F3394">
        <w:rPr>
          <w:rFonts w:ascii="Times New Roman" w:hAnsi="Times New Roman" w:cs="Times New Roman"/>
          <w:sz w:val="24"/>
          <w:szCs w:val="24"/>
          <w:lang w:eastAsia="hr-HR"/>
        </w:rPr>
        <w:t>5,55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% </w:t>
      </w:r>
      <w:r w:rsidR="003F3394">
        <w:rPr>
          <w:rFonts w:ascii="Times New Roman" w:hAnsi="Times New Roman" w:cs="Times New Roman"/>
          <w:sz w:val="24"/>
          <w:szCs w:val="24"/>
          <w:lang w:eastAsia="hr-HR"/>
        </w:rPr>
        <w:t>manje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u odnosu na isto razdoblje prošle godine.  </w:t>
      </w:r>
      <w:r w:rsidR="002B3EF8">
        <w:rPr>
          <w:rFonts w:ascii="Times New Roman" w:hAnsi="Times New Roman" w:cs="Times New Roman"/>
          <w:sz w:val="24"/>
          <w:szCs w:val="24"/>
          <w:lang w:eastAsia="hr-HR"/>
        </w:rPr>
        <w:t xml:space="preserve">Općina Ston </w:t>
      </w:r>
      <w:r w:rsidR="00B32E07">
        <w:rPr>
          <w:rFonts w:ascii="Times New Roman" w:hAnsi="Times New Roman" w:cs="Times New Roman"/>
          <w:sz w:val="24"/>
          <w:szCs w:val="24"/>
          <w:lang w:eastAsia="hr-HR"/>
        </w:rPr>
        <w:t xml:space="preserve">bilježi rashode za izradu projektne dokumentacije za dječje igralište Ston, kao i za </w:t>
      </w:r>
      <w:r w:rsidR="00BE2D38">
        <w:rPr>
          <w:rFonts w:ascii="Times New Roman" w:hAnsi="Times New Roman" w:cs="Times New Roman"/>
          <w:sz w:val="24"/>
          <w:szCs w:val="24"/>
          <w:lang w:eastAsia="hr-HR"/>
        </w:rPr>
        <w:t xml:space="preserve">radove na montaži cjevovoda Broce-Kobaš. </w:t>
      </w:r>
      <w:r w:rsidR="0089076A">
        <w:rPr>
          <w:rFonts w:ascii="Times New Roman" w:hAnsi="Times New Roman" w:cs="Times New Roman"/>
          <w:sz w:val="24"/>
          <w:szCs w:val="24"/>
          <w:lang w:eastAsia="hr-HR"/>
        </w:rPr>
        <w:t>Ostvareni</w:t>
      </w:r>
      <w:r w:rsidR="00AB0724">
        <w:rPr>
          <w:rFonts w:ascii="Times New Roman" w:hAnsi="Times New Roman" w:cs="Times New Roman"/>
          <w:sz w:val="24"/>
          <w:szCs w:val="24"/>
          <w:lang w:eastAsia="hr-HR"/>
        </w:rPr>
        <w:t xml:space="preserve"> su i rashodi za izradu projektno-tehničke dokumentacije za cestu do Gospe od Ružarija, izradu idejne projektne dokumentacije</w:t>
      </w:r>
      <w:r w:rsidR="00DB6DC0">
        <w:rPr>
          <w:rFonts w:ascii="Times New Roman" w:hAnsi="Times New Roman" w:cs="Times New Roman"/>
          <w:sz w:val="24"/>
          <w:szCs w:val="24"/>
          <w:lang w:eastAsia="hr-HR"/>
        </w:rPr>
        <w:t xml:space="preserve"> za reciklažno dvorište u Česvinici,</w:t>
      </w:r>
      <w:r w:rsidR="00162354">
        <w:rPr>
          <w:rFonts w:ascii="Times New Roman" w:hAnsi="Times New Roman" w:cs="Times New Roman"/>
          <w:sz w:val="24"/>
          <w:szCs w:val="24"/>
          <w:lang w:eastAsia="hr-HR"/>
        </w:rPr>
        <w:t xml:space="preserve"> za izmjene i dopune prostornog plana uređenja Općine Ston, transformacij</w:t>
      </w:r>
      <w:r w:rsidR="000A04D6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162354">
        <w:rPr>
          <w:rFonts w:ascii="Times New Roman" w:hAnsi="Times New Roman" w:cs="Times New Roman"/>
          <w:sz w:val="24"/>
          <w:szCs w:val="24"/>
          <w:lang w:eastAsia="hr-HR"/>
        </w:rPr>
        <w:t xml:space="preserve"> prostornog plana i urbanistički plan uređenja Stonskog polja. </w:t>
      </w:r>
      <w:r w:rsidR="00753247">
        <w:rPr>
          <w:rFonts w:ascii="Times New Roman" w:hAnsi="Times New Roman" w:cs="Times New Roman"/>
          <w:sz w:val="24"/>
          <w:szCs w:val="24"/>
          <w:lang w:eastAsia="hr-HR"/>
        </w:rPr>
        <w:t>Za Centar za rehabilitaciju u Putnikoviću, troškovi se odnose na izradu projektno-tehničke dokumentacij</w:t>
      </w:r>
      <w:r w:rsidR="004D6A66">
        <w:rPr>
          <w:rFonts w:ascii="Times New Roman" w:hAnsi="Times New Roman" w:cs="Times New Roman"/>
          <w:sz w:val="24"/>
          <w:szCs w:val="24"/>
          <w:lang w:eastAsia="hr-HR"/>
        </w:rPr>
        <w:t xml:space="preserve">e, savjetodavne projektantske usluge za Centar, reviziju glavnog projekta i izradu procjene otpornosti na klimatske promjene. </w:t>
      </w:r>
    </w:p>
    <w:p w14:paraId="32AE0AC5" w14:textId="0A66D35B" w:rsidR="004A5BD5" w:rsidRDefault="008D31A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Kupljeni su i futsal golovi za igralište</w:t>
      </w:r>
      <w:r w:rsidR="00E12240">
        <w:rPr>
          <w:rFonts w:ascii="Times New Roman" w:hAnsi="Times New Roman" w:cs="Times New Roman"/>
          <w:sz w:val="24"/>
          <w:szCs w:val="24"/>
          <w:lang w:eastAsia="hr-HR"/>
        </w:rPr>
        <w:t xml:space="preserve">, mreža za iste te par lopti za igrališta u Ponikvama i Stonu. </w:t>
      </w:r>
    </w:p>
    <w:p w14:paraId="6E70E7ED" w14:textId="51B7B3E5" w:rsidR="004411A7" w:rsidRDefault="00BE2D3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Manje je rashoda za uredsku opremu i namještaj</w:t>
      </w:r>
      <w:r w:rsidR="00E12240">
        <w:rPr>
          <w:rFonts w:ascii="Times New Roman" w:hAnsi="Times New Roman" w:cs="Times New Roman"/>
          <w:sz w:val="24"/>
          <w:szCs w:val="24"/>
          <w:lang w:eastAsia="hr-HR"/>
        </w:rPr>
        <w:t>, uređaje, strojeve i opremu za ostale namjene (nabavljene kugle za parking u Žuljani</w:t>
      </w:r>
      <w:r w:rsidR="00C82E1C">
        <w:rPr>
          <w:rFonts w:ascii="Times New Roman" w:hAnsi="Times New Roman" w:cs="Times New Roman"/>
          <w:sz w:val="24"/>
          <w:szCs w:val="24"/>
          <w:lang w:eastAsia="hr-HR"/>
        </w:rPr>
        <w:t xml:space="preserve"> i umjetne izbočine). </w:t>
      </w:r>
      <w:r w:rsidR="00F50D44">
        <w:rPr>
          <w:rFonts w:ascii="Times New Roman" w:hAnsi="Times New Roman" w:cs="Times New Roman"/>
          <w:sz w:val="24"/>
          <w:szCs w:val="24"/>
          <w:lang w:eastAsia="hr-HR"/>
        </w:rPr>
        <w:t>Dodatnih ulaganja na građevinskim objektima je bilo u ovom izvještajnom razdoblju</w:t>
      </w:r>
      <w:r w:rsidR="004566DD">
        <w:rPr>
          <w:rFonts w:ascii="Times New Roman" w:hAnsi="Times New Roman" w:cs="Times New Roman"/>
          <w:sz w:val="24"/>
          <w:szCs w:val="24"/>
          <w:lang w:eastAsia="hr-HR"/>
        </w:rPr>
        <w:t>, odnos</w:t>
      </w:r>
      <w:r w:rsidR="0089076A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4566DD">
        <w:rPr>
          <w:rFonts w:ascii="Times New Roman" w:hAnsi="Times New Roman" w:cs="Times New Roman"/>
          <w:sz w:val="24"/>
          <w:szCs w:val="24"/>
          <w:lang w:eastAsia="hr-HR"/>
        </w:rPr>
        <w:t xml:space="preserve"> se na izmjenu sanitarne opreme u Osnovnoj školi Hodilje.</w:t>
      </w:r>
    </w:p>
    <w:p w14:paraId="3AA557FA" w14:textId="33F342FE" w:rsidR="004566DD" w:rsidRDefault="004566D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Kod PK Dječji vrtić Ston, radi se o nabavi uredske opreme i namještaja, opreme za održavanje i zaštitu</w:t>
      </w:r>
      <w:r w:rsidR="002B7AB5">
        <w:rPr>
          <w:rFonts w:ascii="Times New Roman" w:hAnsi="Times New Roman" w:cs="Times New Roman"/>
          <w:sz w:val="24"/>
          <w:szCs w:val="24"/>
          <w:lang w:eastAsia="hr-HR"/>
        </w:rPr>
        <w:t xml:space="preserve">, sportske i glazbene opreme te uređaja, strojeva i opreme za ostale namjene. </w:t>
      </w:r>
    </w:p>
    <w:p w14:paraId="118917C9" w14:textId="7CF46E4F" w:rsidR="0091309C" w:rsidRDefault="0091309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PK Narodna knjižnica Ston ostvarila je više prihoda u odnosu na isto izvještajno razdoblje prethodne godine</w:t>
      </w:r>
      <w:r w:rsidR="00CD2147">
        <w:rPr>
          <w:rFonts w:ascii="Times New Roman" w:hAnsi="Times New Roman" w:cs="Times New Roman"/>
          <w:sz w:val="24"/>
          <w:szCs w:val="24"/>
          <w:lang w:eastAsia="hr-HR"/>
        </w:rPr>
        <w:t xml:space="preserve">, za nabavu knjižne građe. </w:t>
      </w:r>
    </w:p>
    <w:p w14:paraId="175E874B" w14:textId="77777777" w:rsidR="004411A7" w:rsidRDefault="004411A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5D1938A" w14:textId="77777777" w:rsidR="00A10338" w:rsidRDefault="00A1033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15E2C2" w14:textId="77777777" w:rsidR="00A10338" w:rsidRDefault="00A10338">
      <w:pPr>
        <w:pStyle w:val="Bezproreda"/>
        <w:jc w:val="both"/>
        <w:rPr>
          <w:lang w:eastAsia="hr-HR"/>
        </w:rPr>
      </w:pPr>
    </w:p>
    <w:p w14:paraId="16A90D36" w14:textId="77777777" w:rsidR="00A10338" w:rsidRDefault="00EB2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i rashodi prema izvorima</w:t>
      </w:r>
    </w:p>
    <w:p w14:paraId="6E6C9732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6F15D69" w14:textId="4187B369" w:rsidR="00A10338" w:rsidRDefault="00EB29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ukupno naplaćenih prihoda u izvještajnom razdoblju, koji iznose </w:t>
      </w:r>
      <w:r w:rsidR="00A36DE2" w:rsidRPr="006D46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1.282.186,22</w:t>
      </w:r>
      <w:r w:rsidRPr="006D46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€,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3A5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0,71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 čine opći prihodi i primici, 1</w:t>
      </w:r>
      <w:r w:rsidR="008D6C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8,24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prihodi za posebne namjene, </w:t>
      </w:r>
      <w:r w:rsidR="007003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9,94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</w:t>
      </w:r>
      <w:r w:rsidR="004644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pomoći, </w:t>
      </w:r>
      <w:r w:rsidR="004D17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1,09% vlastiti prihodi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 0,0</w:t>
      </w:r>
      <w:r w:rsidR="004422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prihodi od prodaje ili zamjene nefinancijske imovine. </w:t>
      </w:r>
    </w:p>
    <w:p w14:paraId="049975EA" w14:textId="7FFFA5D0" w:rsidR="00A10338" w:rsidRDefault="00EB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ukupno ostvarenih rashoda u izvještajnom razdoblju koji iznose </w:t>
      </w:r>
      <w:r w:rsidR="00A90A67" w:rsidRPr="006D46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1.317.996,74</w:t>
      </w:r>
      <w:r w:rsidRPr="006D46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€,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6</w:t>
      </w:r>
      <w:r w:rsidR="00B63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5,75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su rashodi financirani iz općih prihoda i primitaka, </w:t>
      </w:r>
      <w:r w:rsidR="00BF4F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17,38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iz prihoda za posebne namjene, </w:t>
      </w:r>
      <w:r w:rsidR="001850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13,84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 od pomoći</w:t>
      </w:r>
      <w:r w:rsidR="008F60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1C47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2,21% iz prihoda od financijske imovine i zaduživanja 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064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0,7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iz </w:t>
      </w:r>
      <w:r w:rsidR="007064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vlastitih prihoda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="002945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0,12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iz </w:t>
      </w:r>
      <w:r w:rsidR="00A361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prihoda od prodaje ili zamjene nefinancijske imovine.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0E4D53A6" w14:textId="77777777" w:rsidR="00A10338" w:rsidRDefault="00A1033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EBF47" w14:textId="77777777" w:rsidR="00A10338" w:rsidRDefault="00EB2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prema funkcijskoj klasifikaciji</w:t>
      </w:r>
    </w:p>
    <w:p w14:paraId="4A4CD491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83AD59" w14:textId="07359703" w:rsidR="00A10338" w:rsidRDefault="00EB29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izvještajnom razdoblju od ukupnog ostvarenih rashoda u iznosu od </w:t>
      </w:r>
      <w:r w:rsidR="00F80D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1.317.996,74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€, što je 21,</w:t>
      </w:r>
      <w:r w:rsidR="00586C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 plana za cijelu 202</w:t>
      </w:r>
      <w:r w:rsidR="00586C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.godinu, najveći dio tj. </w:t>
      </w:r>
      <w:r w:rsidR="000154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19,63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odnosi se na </w:t>
      </w:r>
      <w:r w:rsidR="00112C3F"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javne usluge</w:t>
      </w:r>
      <w:r w:rsidR="00112C3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(izvršna i zakonodavna tijela i opće usluge), </w:t>
      </w:r>
      <w:r w:rsidR="009A75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19,05% na </w:t>
      </w:r>
      <w:r w:rsidR="009A750C"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Obrazovanje</w:t>
      </w:r>
      <w:r w:rsidR="009A75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(predškolski odgoj i srednjoškolsko i visoko obrazovanje), </w:t>
      </w:r>
      <w:r w:rsidR="007242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11,52%</w:t>
      </w:r>
      <w:r w:rsidR="00E849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</w:t>
      </w:r>
      <w:r w:rsidR="007242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Usluge unapređenja stanovanja i zajednice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 razvoj zajednice, opskrbu vodom, ulične rasvjete i rashode vezanje za komunalne pogodnosti), </w:t>
      </w:r>
      <w:r w:rsidR="00656B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</w:t>
      </w:r>
      <w:r w:rsidR="007242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</w:t>
      </w:r>
      <w:r w:rsidR="00724246"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Zaštita okoliša</w:t>
      </w:r>
      <w:r w:rsidR="007242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242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(gospodarenje otpadom i otpadnim vodama, usluge zaštite okoliša), </w:t>
      </w:r>
      <w:r w:rsidR="00656B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9,68% </w:t>
      </w:r>
      <w:r w:rsidR="00656B6E"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Ekonomski poslovi</w:t>
      </w:r>
      <w:r w:rsidR="00656B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(promet, poljoprivreda, šumarstvo, ribarstvo),</w:t>
      </w:r>
      <w:r w:rsidR="001D2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8,43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 odnosi se na</w:t>
      </w:r>
      <w:r w:rsidR="00F44483" w:rsidRPr="00F444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44483"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red i sigurnost</w:t>
      </w:r>
      <w:r w:rsidR="00F444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(usluge protupožarne zaštite, javni red i sigurnost)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124E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7,82</w:t>
      </w:r>
      <w:r w:rsidR="00F444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</w:t>
      </w:r>
      <w:r w:rsidR="00124E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="00F44483"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Socijalnu zaštitu</w:t>
      </w:r>
      <w:r w:rsidR="00F444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 starost i obitelj i djeca)</w:t>
      </w:r>
      <w:r w:rsidR="00124E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4114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6,58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</w:t>
      </w:r>
      <w:r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Rekreacija, kultura, religija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(službe rekreacije i sporta, službe kulture), </w:t>
      </w:r>
      <w:r w:rsidR="004114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6,22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% </w:t>
      </w:r>
      <w:r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Zdravstvo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(službe javnog zdravstva)</w:t>
      </w:r>
      <w:r w:rsidR="004114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0,02% se odnosi na </w:t>
      </w:r>
      <w:r w:rsidR="0041149F" w:rsidRPr="000150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Obranu</w:t>
      </w:r>
      <w:r w:rsidR="004114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2626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civilna obrana). </w:t>
      </w:r>
    </w:p>
    <w:p w14:paraId="569DEDAC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B3BE20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1917A03" w14:textId="77777777" w:rsidR="00A10338" w:rsidRDefault="00EB2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 financiranja prema ekonomskoj klasifikaciji</w:t>
      </w:r>
    </w:p>
    <w:p w14:paraId="65029B41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00B0879" w14:textId="2F76DB84" w:rsidR="00A10338" w:rsidRDefault="00EB29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Primici od financijske imovine i zaduživanja </w:t>
      </w:r>
      <w:r w:rsidR="00D95D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– nema i</w:t>
      </w:r>
      <w:r w:rsidR="009E4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zvršenja u ovom izvještajnom razdoblju, dok ga je u prethodnom bilo.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</w:p>
    <w:p w14:paraId="3250C71A" w14:textId="3D522DAC" w:rsidR="00A10338" w:rsidRDefault="007F0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Planiranih </w:t>
      </w:r>
      <w:r w:rsidR="00EB2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izdataka za financijsku imovinu i otplate zajmova</w:t>
      </w:r>
      <w:r w:rsidR="005B6C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B2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5B6C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ovom</w:t>
      </w:r>
      <w:r w:rsidR="00EB2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izvještajnom razdoblju </w:t>
      </w:r>
      <w:r w:rsidR="005B6C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nije bilo, a izvršeno je </w:t>
      </w:r>
      <w:r w:rsidR="009E4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40.000,00</w:t>
      </w:r>
      <w:r w:rsidR="00EB2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€</w:t>
      </w:r>
      <w:r w:rsidR="00EA60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R</w:t>
      </w:r>
      <w:r w:rsidR="00EB2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adi se o </w:t>
      </w:r>
      <w:r w:rsidR="00644C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pozajmici po sklopljenom ugovoru s udrugom Stonski školjkari, u svrhu realizacije projekta manifestacije Dani malostonske kamenice. </w:t>
      </w:r>
    </w:p>
    <w:p w14:paraId="5FF2EC50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6097ED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B110EC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E325EB" w14:textId="77777777" w:rsidR="00A10338" w:rsidRDefault="00EB2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 financiranja prema izvorima</w:t>
      </w:r>
    </w:p>
    <w:p w14:paraId="29328FB3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BF8C03" w14:textId="20A1EFD5" w:rsidR="00A10338" w:rsidRDefault="000A72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Izdaci </w:t>
      </w:r>
      <w:r w:rsidR="00EB2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financijsku imovinu i otplate zajmova financirani su iz izvora </w:t>
      </w:r>
      <w:r w:rsidR="00AC3DE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 prihodi i primici</w:t>
      </w:r>
      <w:r w:rsidR="00EB2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iznos od </w:t>
      </w:r>
      <w:r w:rsidR="008561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</w:t>
      </w:r>
      <w:r w:rsidR="00EB29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.000,00€.  </w:t>
      </w:r>
    </w:p>
    <w:p w14:paraId="366B1B98" w14:textId="77777777" w:rsidR="00A10338" w:rsidRDefault="00A10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BC534" w14:textId="77777777" w:rsidR="00A10338" w:rsidRDefault="00A1033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93428" w14:textId="77777777" w:rsidR="00A10338" w:rsidRDefault="00A10338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32BB52" w14:textId="77777777" w:rsidR="00A10338" w:rsidRDefault="00EB291F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Prikaz ostvarenog manjka  proračuna Općine Ston u izvještajnom razdoblju</w:t>
      </w:r>
    </w:p>
    <w:p w14:paraId="59491BFE" w14:textId="77777777" w:rsidR="00A10338" w:rsidRDefault="00A103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3CBFE" w14:textId="020A9ED5" w:rsidR="00A10338" w:rsidRDefault="00EB29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Manjak prihoda i primitaka ostvaren u  202</w:t>
      </w:r>
      <w:r w:rsidR="00B279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.godini za Općinu i njene proračunske korisnike iznosi  -</w:t>
      </w:r>
      <w:r w:rsidR="00B93E0F">
        <w:rPr>
          <w:rFonts w:ascii="Times New Roman" w:hAnsi="Times New Roman" w:cs="Times New Roman"/>
          <w:color w:val="000000" w:themeColor="text1"/>
          <w:sz w:val="24"/>
          <w:szCs w:val="24"/>
        </w:rPr>
        <w:t>75.810,52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€</m:t>
        </m:r>
      </m:oMath>
      <w:r>
        <w:rPr>
          <w:rFonts w:ascii="Times New Roman" w:hAnsi="Times New Roman" w:cs="Times New Roman"/>
          <w:color w:val="000000" w:themeColor="text1"/>
          <w:sz w:val="24"/>
          <w:szCs w:val="24"/>
        </w:rPr>
        <w:t>. Obzirom da je preneseni manjak prihoda i primitaka -</w:t>
      </w:r>
      <w:r w:rsidR="00B93E0F">
        <w:rPr>
          <w:rFonts w:ascii="Times New Roman" w:hAnsi="Times New Roman" w:cs="Times New Roman"/>
          <w:color w:val="000000" w:themeColor="text1"/>
          <w:sz w:val="24"/>
          <w:szCs w:val="24"/>
        </w:rPr>
        <w:t>44.544,86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€, ukupni rezultat, odnosno manjak prihoda i primitaka za pokriće u sljedećem razdoblju iznosi: -</w:t>
      </w:r>
      <w:r w:rsidR="00A4670A">
        <w:rPr>
          <w:rFonts w:ascii="Times New Roman" w:hAnsi="Times New Roman" w:cs="Times New Roman"/>
          <w:color w:val="000000" w:themeColor="text1"/>
          <w:sz w:val="24"/>
          <w:szCs w:val="24"/>
        </w:rPr>
        <w:t>120.355,38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€. </w:t>
      </w:r>
    </w:p>
    <w:p w14:paraId="4675BE9E" w14:textId="77777777" w:rsidR="00A10338" w:rsidRDefault="00A1033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E1E8A18" w14:textId="1D2D36A8" w:rsidR="00A10338" w:rsidRDefault="00EB2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Općine Ston i njenih proračunskih korisnika na dan 30.06.202</w:t>
      </w:r>
      <w:r w:rsidR="00B279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je prikazan u sljedećoj tablici: </w:t>
      </w:r>
    </w:p>
    <w:tbl>
      <w:tblPr>
        <w:tblStyle w:val="Reetkatablice"/>
        <w:tblW w:w="9264" w:type="dxa"/>
        <w:tblInd w:w="108" w:type="dxa"/>
        <w:tblLook w:val="04A0" w:firstRow="1" w:lastRow="0" w:firstColumn="1" w:lastColumn="0" w:noHBand="0" w:noVBand="1"/>
      </w:tblPr>
      <w:tblGrid>
        <w:gridCol w:w="2235"/>
        <w:gridCol w:w="2343"/>
        <w:gridCol w:w="2343"/>
        <w:gridCol w:w="2343"/>
      </w:tblGrid>
      <w:tr w:rsidR="00A10338" w14:paraId="1B0C8869" w14:textId="77777777">
        <w:trPr>
          <w:trHeight w:val="694"/>
        </w:trPr>
        <w:tc>
          <w:tcPr>
            <w:tcW w:w="2235" w:type="dxa"/>
          </w:tcPr>
          <w:p w14:paraId="64A47443" w14:textId="77777777" w:rsidR="00A10338" w:rsidRDefault="00A10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40D1B5D" w14:textId="77777777" w:rsidR="00A10338" w:rsidRDefault="00EB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STON</w:t>
            </w:r>
          </w:p>
        </w:tc>
        <w:tc>
          <w:tcPr>
            <w:tcW w:w="2343" w:type="dxa"/>
            <w:vAlign w:val="center"/>
          </w:tcPr>
          <w:p w14:paraId="55DF7D46" w14:textId="77777777" w:rsidR="00A10338" w:rsidRDefault="00EB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 STON</w:t>
            </w:r>
          </w:p>
        </w:tc>
        <w:tc>
          <w:tcPr>
            <w:tcW w:w="2343" w:type="dxa"/>
            <w:vAlign w:val="center"/>
          </w:tcPr>
          <w:p w14:paraId="79D5D2FF" w14:textId="77777777" w:rsidR="00A10338" w:rsidRDefault="00EB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NARODNA KNJIŽNICA STON</w:t>
            </w:r>
          </w:p>
        </w:tc>
      </w:tr>
      <w:tr w:rsidR="00A10338" w14:paraId="50078599" w14:textId="77777777">
        <w:trPr>
          <w:trHeight w:val="694"/>
        </w:trPr>
        <w:tc>
          <w:tcPr>
            <w:tcW w:w="2235" w:type="dxa"/>
            <w:vAlign w:val="center"/>
          </w:tcPr>
          <w:p w14:paraId="4AD9DCB7" w14:textId="77777777" w:rsidR="00A10338" w:rsidRDefault="00EB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Preneseni rezultat iz prethodne godine</w:t>
            </w:r>
          </w:p>
        </w:tc>
        <w:tc>
          <w:tcPr>
            <w:tcW w:w="2343" w:type="dxa"/>
            <w:vAlign w:val="center"/>
          </w:tcPr>
          <w:p w14:paraId="22F537A4" w14:textId="3A5DA090" w:rsidR="00A10338" w:rsidRDefault="00EB29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6E5F">
              <w:rPr>
                <w:rFonts w:ascii="Times New Roman" w:hAnsi="Times New Roman" w:cs="Times New Roman"/>
                <w:sz w:val="24"/>
                <w:szCs w:val="24"/>
              </w:rPr>
              <w:t>5.193,44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343" w:type="dxa"/>
            <w:vAlign w:val="center"/>
          </w:tcPr>
          <w:p w14:paraId="34645C48" w14:textId="702747B4" w:rsidR="00A10338" w:rsidRDefault="00EB29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04D8">
              <w:rPr>
                <w:rFonts w:ascii="Times New Roman" w:hAnsi="Times New Roman" w:cs="Times New Roman"/>
                <w:sz w:val="24"/>
                <w:szCs w:val="24"/>
              </w:rPr>
              <w:t>36.690,10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343" w:type="dxa"/>
            <w:vAlign w:val="center"/>
          </w:tcPr>
          <w:p w14:paraId="0934F77F" w14:textId="3FE007AC" w:rsidR="00A10338" w:rsidRDefault="005E19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-2.661,32</w:t>
            </w:r>
            <w:r w:rsidR="00EB291F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10338" w14:paraId="7AFA55B6" w14:textId="77777777">
        <w:trPr>
          <w:trHeight w:val="694"/>
        </w:trPr>
        <w:tc>
          <w:tcPr>
            <w:tcW w:w="2235" w:type="dxa"/>
            <w:vAlign w:val="center"/>
          </w:tcPr>
          <w:p w14:paraId="4B9D1CD7" w14:textId="77777777" w:rsidR="00A10338" w:rsidRDefault="00EB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 ostvaren u izvještajnom razdoblju</w:t>
            </w:r>
          </w:p>
        </w:tc>
        <w:tc>
          <w:tcPr>
            <w:tcW w:w="2343" w:type="dxa"/>
            <w:vAlign w:val="center"/>
          </w:tcPr>
          <w:p w14:paraId="65685146" w14:textId="3D9AB4D6" w:rsidR="00A10338" w:rsidRDefault="00EB29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1DF">
              <w:rPr>
                <w:rFonts w:ascii="Times New Roman" w:hAnsi="Times New Roman" w:cs="Times New Roman"/>
                <w:sz w:val="24"/>
                <w:szCs w:val="24"/>
              </w:rPr>
              <w:t>80.401,19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343" w:type="dxa"/>
            <w:vAlign w:val="center"/>
          </w:tcPr>
          <w:p w14:paraId="6E02DD38" w14:textId="79274597" w:rsidR="00A10338" w:rsidRDefault="001304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721,93</w:t>
            </w:r>
            <w:r w:rsidR="00EB291F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343" w:type="dxa"/>
            <w:vAlign w:val="center"/>
          </w:tcPr>
          <w:p w14:paraId="7EED91AB" w14:textId="3F35FA3A" w:rsidR="00A10338" w:rsidRDefault="005E19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3.868,74</w:t>
            </w:r>
            <w:r w:rsidR="00EB291F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10338" w14:paraId="4E3955D4" w14:textId="77777777">
        <w:trPr>
          <w:trHeight w:val="694"/>
        </w:trPr>
        <w:tc>
          <w:tcPr>
            <w:tcW w:w="2235" w:type="dxa"/>
            <w:vAlign w:val="center"/>
          </w:tcPr>
          <w:p w14:paraId="70B72C69" w14:textId="7E42715B" w:rsidR="00A10338" w:rsidRDefault="00EB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 na 30.06.202</w:t>
            </w:r>
            <w:r w:rsidR="00232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vAlign w:val="center"/>
          </w:tcPr>
          <w:p w14:paraId="3E2FBDBE" w14:textId="09434E26" w:rsidR="00A10338" w:rsidRDefault="00EB29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1DF">
              <w:rPr>
                <w:rFonts w:ascii="Times New Roman" w:hAnsi="Times New Roman" w:cs="Times New Roman"/>
                <w:sz w:val="24"/>
                <w:szCs w:val="24"/>
              </w:rPr>
              <w:t>85.594,63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343" w:type="dxa"/>
            <w:vAlign w:val="center"/>
          </w:tcPr>
          <w:p w14:paraId="488EF6C4" w14:textId="0B06636A" w:rsidR="00A10338" w:rsidRDefault="00EB29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04D8">
              <w:rPr>
                <w:rFonts w:ascii="Times New Roman" w:hAnsi="Times New Roman" w:cs="Times New Roman"/>
                <w:sz w:val="24"/>
                <w:szCs w:val="24"/>
              </w:rPr>
              <w:t>35.968,17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343" w:type="dxa"/>
            <w:vAlign w:val="center"/>
          </w:tcPr>
          <w:p w14:paraId="2F9DA7C1" w14:textId="308FFB22" w:rsidR="00A10338" w:rsidRDefault="005E19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1.207,42</w:t>
            </w:r>
            <w:r w:rsidR="00EB291F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089E8122" w14:textId="77777777" w:rsidR="00A10338" w:rsidRDefault="00A1033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CCA408" w14:textId="77777777" w:rsidR="00A10338" w:rsidRDefault="00A103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3E9BB" w14:textId="77777777" w:rsidR="0004129F" w:rsidRDefault="00041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DA6F8" w14:textId="77777777" w:rsidR="00A10338" w:rsidRDefault="00EB2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POSEBNI IZVJEŠTAJI</w:t>
      </w:r>
    </w:p>
    <w:p w14:paraId="32BB2653" w14:textId="77777777" w:rsidR="00A10338" w:rsidRDefault="00EB2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korištenju proračunske zalihe</w:t>
      </w:r>
    </w:p>
    <w:p w14:paraId="50BA1AC3" w14:textId="0D94159F" w:rsidR="00A10338" w:rsidRDefault="00EB2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01.01.-30.06.202</w:t>
      </w:r>
      <w:r w:rsidR="00E82B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 Općina Ston nije koristila sredstva proračunske zalihe.</w:t>
      </w:r>
    </w:p>
    <w:p w14:paraId="0EA1982A" w14:textId="77777777" w:rsidR="00A10338" w:rsidRDefault="00EB29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i kapitala</w:t>
      </w:r>
    </w:p>
    <w:p w14:paraId="1DA21FE6" w14:textId="19FB66EA" w:rsidR="00D76872" w:rsidRDefault="00EB2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razdoblju, Općina Ston je dana </w:t>
      </w:r>
      <w:r w:rsidR="00D76872">
        <w:rPr>
          <w:rFonts w:ascii="Times New Roman" w:hAnsi="Times New Roman" w:cs="Times New Roman"/>
          <w:sz w:val="24"/>
          <w:szCs w:val="24"/>
        </w:rPr>
        <w:t>03.03.2025.</w:t>
      </w:r>
      <w:r w:rsidR="002D0016">
        <w:rPr>
          <w:rFonts w:ascii="Times New Roman" w:hAnsi="Times New Roman" w:cs="Times New Roman"/>
          <w:sz w:val="24"/>
          <w:szCs w:val="24"/>
        </w:rPr>
        <w:t xml:space="preserve"> sa OTP bankom d.d. sklopila Ugovor o kreditu br.700/25 u iznosu od 510.000,00€ (revolving kredit u vidu dozvoljenog prekoračenja pokrića na računu za </w:t>
      </w:r>
      <w:r w:rsidR="001A5BFC">
        <w:rPr>
          <w:rFonts w:ascii="Times New Roman" w:hAnsi="Times New Roman" w:cs="Times New Roman"/>
          <w:sz w:val="24"/>
          <w:szCs w:val="24"/>
        </w:rPr>
        <w:t xml:space="preserve">redovno poslovanje). </w:t>
      </w:r>
      <w:r w:rsidR="00685522">
        <w:rPr>
          <w:rFonts w:ascii="Times New Roman" w:hAnsi="Times New Roman" w:cs="Times New Roman"/>
          <w:sz w:val="24"/>
          <w:szCs w:val="24"/>
        </w:rPr>
        <w:t>Referentna kamatna stopa iznosi 1 mjesečni EURIBOR uvećana za kamatu maržu 1,50 postotni bod godišnje. Dospijeće je 03.03.2026.godine.</w:t>
      </w:r>
    </w:p>
    <w:p w14:paraId="68573742" w14:textId="551B1A61" w:rsidR="00A10338" w:rsidRDefault="00B36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se o nastavku dozvoljenog prekoračenja, temeljem</w:t>
      </w:r>
      <w:r w:rsidR="00EB291F">
        <w:rPr>
          <w:rFonts w:ascii="Times New Roman" w:hAnsi="Times New Roman" w:cs="Times New Roman"/>
          <w:sz w:val="24"/>
          <w:szCs w:val="24"/>
        </w:rPr>
        <w:t xml:space="preserve"> sklop</w:t>
      </w:r>
      <w:r>
        <w:rPr>
          <w:rFonts w:ascii="Times New Roman" w:hAnsi="Times New Roman" w:cs="Times New Roman"/>
          <w:sz w:val="24"/>
          <w:szCs w:val="24"/>
        </w:rPr>
        <w:t>ljenog</w:t>
      </w:r>
      <w:r w:rsidR="00EB291F">
        <w:rPr>
          <w:rFonts w:ascii="Times New Roman" w:hAnsi="Times New Roman" w:cs="Times New Roman"/>
          <w:sz w:val="24"/>
          <w:szCs w:val="24"/>
        </w:rPr>
        <w:t xml:space="preserve"> Ugovor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B291F">
        <w:rPr>
          <w:rFonts w:ascii="Times New Roman" w:hAnsi="Times New Roman" w:cs="Times New Roman"/>
          <w:sz w:val="24"/>
          <w:szCs w:val="24"/>
        </w:rPr>
        <w:t xml:space="preserve"> o kreditu br.922/24 </w:t>
      </w:r>
      <w:r w:rsidR="00110A98">
        <w:rPr>
          <w:rFonts w:ascii="Times New Roman" w:hAnsi="Times New Roman" w:cs="Times New Roman"/>
          <w:sz w:val="24"/>
          <w:szCs w:val="24"/>
        </w:rPr>
        <w:t xml:space="preserve">od 04.03.2024. </w:t>
      </w:r>
      <w:r w:rsidR="00553E4E">
        <w:rPr>
          <w:rFonts w:ascii="Times New Roman" w:hAnsi="Times New Roman" w:cs="Times New Roman"/>
          <w:sz w:val="24"/>
          <w:szCs w:val="24"/>
        </w:rPr>
        <w:t xml:space="preserve">s OTP bankom d.d. </w:t>
      </w:r>
      <w:r w:rsidR="00EB291F">
        <w:rPr>
          <w:rFonts w:ascii="Times New Roman" w:hAnsi="Times New Roman" w:cs="Times New Roman"/>
          <w:sz w:val="24"/>
          <w:szCs w:val="24"/>
        </w:rPr>
        <w:t xml:space="preserve">u iznosu od 510.000,00€ (revolving kredit u vidu dozvoljenog prekoračenja pokrića na računu za redovno poslovanje). </w:t>
      </w:r>
      <w:r w:rsidR="005A3724">
        <w:rPr>
          <w:rFonts w:ascii="Times New Roman" w:hAnsi="Times New Roman" w:cs="Times New Roman"/>
          <w:sz w:val="24"/>
          <w:szCs w:val="24"/>
        </w:rPr>
        <w:t xml:space="preserve">Dospijeće je bilo 04.03.2025.godine. </w:t>
      </w:r>
      <w:r w:rsidR="00A822AA">
        <w:rPr>
          <w:rFonts w:ascii="Times New Roman" w:hAnsi="Times New Roman" w:cs="Times New Roman"/>
          <w:sz w:val="24"/>
          <w:szCs w:val="24"/>
        </w:rPr>
        <w:t xml:space="preserve">Kredit je u cijelosti otplaćen. </w:t>
      </w:r>
    </w:p>
    <w:p w14:paraId="6CDF8565" w14:textId="77777777" w:rsidR="00A10338" w:rsidRDefault="00A10338" w:rsidP="005F33A2">
      <w:pPr>
        <w:rPr>
          <w:rFonts w:ascii="Times New Roman" w:hAnsi="Times New Roman" w:cs="Times New Roman"/>
          <w:sz w:val="24"/>
          <w:szCs w:val="24"/>
        </w:rPr>
      </w:pPr>
    </w:p>
    <w:p w14:paraId="560D61AF" w14:textId="77777777" w:rsidR="00A10338" w:rsidRDefault="00EB29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danim jamstvima i plaćanjima po protestiranim jamstvima</w:t>
      </w:r>
    </w:p>
    <w:p w14:paraId="5A69694A" w14:textId="70314631" w:rsidR="00A10338" w:rsidRDefault="00EB2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01.01.-30.06.202</w:t>
      </w:r>
      <w:r w:rsidR="007A40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Općina Ston nije izdavala jamstva za osiguranja kredita niti jamstva vezana za okončanje posla odnosno osiguranje primljenih predujmova. </w:t>
      </w:r>
    </w:p>
    <w:p w14:paraId="18F9193F" w14:textId="77777777" w:rsidR="00A10338" w:rsidRDefault="00A10338">
      <w:pPr>
        <w:rPr>
          <w:rFonts w:ascii="Times New Roman" w:hAnsi="Times New Roman" w:cs="Times New Roman"/>
          <w:sz w:val="24"/>
          <w:szCs w:val="24"/>
        </w:rPr>
      </w:pPr>
    </w:p>
    <w:p w14:paraId="274A45CD" w14:textId="77777777" w:rsidR="00A10338" w:rsidRDefault="00EB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64A0FD" w14:textId="77777777" w:rsidR="00A10338" w:rsidRDefault="00A10338">
      <w:pPr>
        <w:rPr>
          <w:rFonts w:ascii="Times New Roman" w:hAnsi="Times New Roman" w:cs="Times New Roman"/>
          <w:sz w:val="24"/>
          <w:szCs w:val="24"/>
        </w:rPr>
      </w:pPr>
    </w:p>
    <w:p w14:paraId="1A80E9BF" w14:textId="61228742" w:rsidR="00A10338" w:rsidRDefault="00EB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Stonu, </w:t>
      </w:r>
      <w:r w:rsidR="00BD2AB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.rujna 202</w:t>
      </w:r>
      <w:r w:rsidR="00BD2A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>
        <w:rPr>
          <w:rFonts w:ascii="Times New Roman" w:hAnsi="Times New Roman" w:cs="Times New Roman"/>
          <w:sz w:val="24"/>
          <w:szCs w:val="24"/>
        </w:rPr>
        <w:br/>
        <w:t>KLASA: 400-08/2</w:t>
      </w:r>
      <w:r w:rsidR="00844A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844A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>URBROJ: 2117/04-2</w:t>
      </w:r>
      <w:r w:rsidR="00844A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697C67">
        <w:rPr>
          <w:rFonts w:ascii="Times New Roman" w:hAnsi="Times New Roman" w:cs="Times New Roman"/>
          <w:sz w:val="24"/>
          <w:szCs w:val="24"/>
        </w:rPr>
        <w:t>0</w:t>
      </w:r>
    </w:p>
    <w:p w14:paraId="5E940413" w14:textId="77777777" w:rsidR="00A10338" w:rsidRDefault="00A10338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6F6D35E0" w14:textId="77777777" w:rsidR="00A10338" w:rsidRDefault="00EB291F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Predsjednik Općinskog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vijeća Općine Ston:</w:t>
      </w:r>
    </w:p>
    <w:p w14:paraId="4BB8BE92" w14:textId="1B14C1C9" w:rsidR="00A10338" w:rsidRDefault="00EB2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Nives Babić,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D2ABB">
        <w:rPr>
          <w:rFonts w:ascii="Times New Roman" w:hAnsi="Times New Roman" w:cs="Times New Roman"/>
          <w:sz w:val="24"/>
          <w:szCs w:val="24"/>
        </w:rPr>
        <w:t>Romano Vukas</w:t>
      </w:r>
    </w:p>
    <w:p w14:paraId="0973CBF9" w14:textId="77777777" w:rsidR="00A10338" w:rsidRDefault="00A103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4B645" w14:textId="77777777" w:rsidR="00A10338" w:rsidRDefault="00EB2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44B1525A" w14:textId="77777777" w:rsidR="00A10338" w:rsidRDefault="00EB291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 glasnik Općine Ston </w:t>
      </w:r>
    </w:p>
    <w:p w14:paraId="61B12601" w14:textId="77777777" w:rsidR="00A10338" w:rsidRDefault="00EB291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Općine Ston</w:t>
      </w:r>
    </w:p>
    <w:p w14:paraId="640BD000" w14:textId="77777777" w:rsidR="00A10338" w:rsidRDefault="00EB291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A10338">
      <w:type w:val="continuous"/>
      <w:pgSz w:w="11906" w:h="16838" w:code="9"/>
      <w:pgMar w:top="1412" w:right="1134" w:bottom="1021" w:left="1134" w:header="1134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966FE"/>
    <w:multiLevelType w:val="hybridMultilevel"/>
    <w:tmpl w:val="A1720F0E"/>
    <w:lvl w:ilvl="0" w:tplc="7C1492C2">
      <w:start w:val="1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01861"/>
    <w:multiLevelType w:val="hybridMultilevel"/>
    <w:tmpl w:val="80AA711A"/>
    <w:lvl w:ilvl="0" w:tplc="BBECE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F05C4"/>
    <w:multiLevelType w:val="hybridMultilevel"/>
    <w:tmpl w:val="C96CA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5483">
    <w:abstractNumId w:val="2"/>
  </w:num>
  <w:num w:numId="2" w16cid:durableId="888301350">
    <w:abstractNumId w:val="1"/>
  </w:num>
  <w:num w:numId="3" w16cid:durableId="2001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38"/>
    <w:rsid w:val="00000619"/>
    <w:rsid w:val="00010170"/>
    <w:rsid w:val="00015024"/>
    <w:rsid w:val="00015407"/>
    <w:rsid w:val="000203F6"/>
    <w:rsid w:val="00025381"/>
    <w:rsid w:val="0004129F"/>
    <w:rsid w:val="00073A8E"/>
    <w:rsid w:val="0008591F"/>
    <w:rsid w:val="00091420"/>
    <w:rsid w:val="000A04D6"/>
    <w:rsid w:val="000A724C"/>
    <w:rsid w:val="000B3414"/>
    <w:rsid w:val="000C550C"/>
    <w:rsid w:val="000E68B5"/>
    <w:rsid w:val="000F36EB"/>
    <w:rsid w:val="000F6C1D"/>
    <w:rsid w:val="00110128"/>
    <w:rsid w:val="00110A98"/>
    <w:rsid w:val="00112C3F"/>
    <w:rsid w:val="00123777"/>
    <w:rsid w:val="00124E38"/>
    <w:rsid w:val="001304D8"/>
    <w:rsid w:val="0014022E"/>
    <w:rsid w:val="001454CB"/>
    <w:rsid w:val="001513A2"/>
    <w:rsid w:val="00162354"/>
    <w:rsid w:val="00176169"/>
    <w:rsid w:val="001850F3"/>
    <w:rsid w:val="00196BC4"/>
    <w:rsid w:val="001A5BFC"/>
    <w:rsid w:val="001C2878"/>
    <w:rsid w:val="001C477B"/>
    <w:rsid w:val="001D2070"/>
    <w:rsid w:val="001E772E"/>
    <w:rsid w:val="001F1EAF"/>
    <w:rsid w:val="00210F2E"/>
    <w:rsid w:val="002222F5"/>
    <w:rsid w:val="00225405"/>
    <w:rsid w:val="00232E0E"/>
    <w:rsid w:val="0024456E"/>
    <w:rsid w:val="00246CBE"/>
    <w:rsid w:val="00253B7D"/>
    <w:rsid w:val="002542AA"/>
    <w:rsid w:val="002564AB"/>
    <w:rsid w:val="0026263B"/>
    <w:rsid w:val="002945BE"/>
    <w:rsid w:val="002A3E40"/>
    <w:rsid w:val="002B24D4"/>
    <w:rsid w:val="002B3EF8"/>
    <w:rsid w:val="002B7AB5"/>
    <w:rsid w:val="002C24B9"/>
    <w:rsid w:val="002D0016"/>
    <w:rsid w:val="002D3268"/>
    <w:rsid w:val="002E5389"/>
    <w:rsid w:val="00320498"/>
    <w:rsid w:val="003223A3"/>
    <w:rsid w:val="00360F60"/>
    <w:rsid w:val="0039604E"/>
    <w:rsid w:val="003A558A"/>
    <w:rsid w:val="003C6265"/>
    <w:rsid w:val="003E5CDD"/>
    <w:rsid w:val="003F3394"/>
    <w:rsid w:val="00402453"/>
    <w:rsid w:val="00405329"/>
    <w:rsid w:val="0041149F"/>
    <w:rsid w:val="00412558"/>
    <w:rsid w:val="004368DE"/>
    <w:rsid w:val="004411A7"/>
    <w:rsid w:val="00442201"/>
    <w:rsid w:val="00442831"/>
    <w:rsid w:val="004464D3"/>
    <w:rsid w:val="00454495"/>
    <w:rsid w:val="004566DD"/>
    <w:rsid w:val="0046440E"/>
    <w:rsid w:val="004728B2"/>
    <w:rsid w:val="004749BF"/>
    <w:rsid w:val="004A5BD5"/>
    <w:rsid w:val="004B1486"/>
    <w:rsid w:val="004B3CFA"/>
    <w:rsid w:val="004C3091"/>
    <w:rsid w:val="004C5C03"/>
    <w:rsid w:val="004D1721"/>
    <w:rsid w:val="004D6A66"/>
    <w:rsid w:val="00500F1F"/>
    <w:rsid w:val="00503C7B"/>
    <w:rsid w:val="005358C3"/>
    <w:rsid w:val="00553E4E"/>
    <w:rsid w:val="00574641"/>
    <w:rsid w:val="00574D6D"/>
    <w:rsid w:val="005779F2"/>
    <w:rsid w:val="00586CDF"/>
    <w:rsid w:val="005931DF"/>
    <w:rsid w:val="005A3724"/>
    <w:rsid w:val="005A5A83"/>
    <w:rsid w:val="005B02D5"/>
    <w:rsid w:val="005B6C15"/>
    <w:rsid w:val="005E191C"/>
    <w:rsid w:val="005E65CE"/>
    <w:rsid w:val="005F33A2"/>
    <w:rsid w:val="005F54BC"/>
    <w:rsid w:val="00630BF1"/>
    <w:rsid w:val="00640DFD"/>
    <w:rsid w:val="00644CCE"/>
    <w:rsid w:val="00656B6E"/>
    <w:rsid w:val="00664982"/>
    <w:rsid w:val="00665E33"/>
    <w:rsid w:val="006822C6"/>
    <w:rsid w:val="00685522"/>
    <w:rsid w:val="00697C67"/>
    <w:rsid w:val="006A07BE"/>
    <w:rsid w:val="006B1712"/>
    <w:rsid w:val="006B5AE8"/>
    <w:rsid w:val="006C7D51"/>
    <w:rsid w:val="006D465F"/>
    <w:rsid w:val="006E3937"/>
    <w:rsid w:val="006F0566"/>
    <w:rsid w:val="006F4DD0"/>
    <w:rsid w:val="007003E4"/>
    <w:rsid w:val="00706457"/>
    <w:rsid w:val="00715689"/>
    <w:rsid w:val="00724246"/>
    <w:rsid w:val="0073313E"/>
    <w:rsid w:val="00735602"/>
    <w:rsid w:val="00741632"/>
    <w:rsid w:val="00753247"/>
    <w:rsid w:val="007712EC"/>
    <w:rsid w:val="0078041A"/>
    <w:rsid w:val="00780E37"/>
    <w:rsid w:val="00787C10"/>
    <w:rsid w:val="007A4069"/>
    <w:rsid w:val="007B2C09"/>
    <w:rsid w:val="007C348D"/>
    <w:rsid w:val="007F0DFD"/>
    <w:rsid w:val="00824D44"/>
    <w:rsid w:val="00834987"/>
    <w:rsid w:val="00844AD0"/>
    <w:rsid w:val="008561C0"/>
    <w:rsid w:val="008636A2"/>
    <w:rsid w:val="0089076A"/>
    <w:rsid w:val="00894527"/>
    <w:rsid w:val="008A0534"/>
    <w:rsid w:val="008B7B27"/>
    <w:rsid w:val="008C300F"/>
    <w:rsid w:val="008D31A2"/>
    <w:rsid w:val="008D6C7B"/>
    <w:rsid w:val="008E2D46"/>
    <w:rsid w:val="008E36E8"/>
    <w:rsid w:val="008F603A"/>
    <w:rsid w:val="00903171"/>
    <w:rsid w:val="00912530"/>
    <w:rsid w:val="0091309C"/>
    <w:rsid w:val="00923AD7"/>
    <w:rsid w:val="00924502"/>
    <w:rsid w:val="009247B1"/>
    <w:rsid w:val="00927FE0"/>
    <w:rsid w:val="00934969"/>
    <w:rsid w:val="00942804"/>
    <w:rsid w:val="00964AC7"/>
    <w:rsid w:val="00965D8B"/>
    <w:rsid w:val="00995F4E"/>
    <w:rsid w:val="009A750C"/>
    <w:rsid w:val="009B2CA0"/>
    <w:rsid w:val="009B664D"/>
    <w:rsid w:val="009D2F5E"/>
    <w:rsid w:val="009E42A7"/>
    <w:rsid w:val="009F03DA"/>
    <w:rsid w:val="00A014B9"/>
    <w:rsid w:val="00A03CD7"/>
    <w:rsid w:val="00A057A7"/>
    <w:rsid w:val="00A10338"/>
    <w:rsid w:val="00A14FF4"/>
    <w:rsid w:val="00A24761"/>
    <w:rsid w:val="00A3617E"/>
    <w:rsid w:val="00A36DE2"/>
    <w:rsid w:val="00A4670A"/>
    <w:rsid w:val="00A51B6A"/>
    <w:rsid w:val="00A822AA"/>
    <w:rsid w:val="00A90A67"/>
    <w:rsid w:val="00AA6676"/>
    <w:rsid w:val="00AB0724"/>
    <w:rsid w:val="00AB6270"/>
    <w:rsid w:val="00AC3B9E"/>
    <w:rsid w:val="00AC3DEB"/>
    <w:rsid w:val="00AD07C1"/>
    <w:rsid w:val="00AD3C14"/>
    <w:rsid w:val="00AD5686"/>
    <w:rsid w:val="00AE0D02"/>
    <w:rsid w:val="00B05218"/>
    <w:rsid w:val="00B133BB"/>
    <w:rsid w:val="00B2786A"/>
    <w:rsid w:val="00B279C5"/>
    <w:rsid w:val="00B32E07"/>
    <w:rsid w:val="00B363A3"/>
    <w:rsid w:val="00B54760"/>
    <w:rsid w:val="00B6391F"/>
    <w:rsid w:val="00B707F7"/>
    <w:rsid w:val="00B828BF"/>
    <w:rsid w:val="00B8741E"/>
    <w:rsid w:val="00B93E0F"/>
    <w:rsid w:val="00B96E5F"/>
    <w:rsid w:val="00BA680F"/>
    <w:rsid w:val="00BB0A92"/>
    <w:rsid w:val="00BB2917"/>
    <w:rsid w:val="00BB4276"/>
    <w:rsid w:val="00BD2ABB"/>
    <w:rsid w:val="00BE2D38"/>
    <w:rsid w:val="00BF4F48"/>
    <w:rsid w:val="00C21B02"/>
    <w:rsid w:val="00C26A11"/>
    <w:rsid w:val="00C33B11"/>
    <w:rsid w:val="00C358B4"/>
    <w:rsid w:val="00C40073"/>
    <w:rsid w:val="00C537D0"/>
    <w:rsid w:val="00C54FC3"/>
    <w:rsid w:val="00C564E0"/>
    <w:rsid w:val="00C56C78"/>
    <w:rsid w:val="00C82E1C"/>
    <w:rsid w:val="00C95A0F"/>
    <w:rsid w:val="00CA78F2"/>
    <w:rsid w:val="00CC0074"/>
    <w:rsid w:val="00CD2147"/>
    <w:rsid w:val="00CD6462"/>
    <w:rsid w:val="00CF44A9"/>
    <w:rsid w:val="00D00C86"/>
    <w:rsid w:val="00D04037"/>
    <w:rsid w:val="00D11382"/>
    <w:rsid w:val="00D270EC"/>
    <w:rsid w:val="00D4784D"/>
    <w:rsid w:val="00D60A67"/>
    <w:rsid w:val="00D62B74"/>
    <w:rsid w:val="00D71C5F"/>
    <w:rsid w:val="00D76872"/>
    <w:rsid w:val="00D92E5D"/>
    <w:rsid w:val="00D95DFA"/>
    <w:rsid w:val="00DB24FC"/>
    <w:rsid w:val="00DB6DC0"/>
    <w:rsid w:val="00DD4B24"/>
    <w:rsid w:val="00DF6921"/>
    <w:rsid w:val="00DF6C11"/>
    <w:rsid w:val="00E01695"/>
    <w:rsid w:val="00E056A3"/>
    <w:rsid w:val="00E060D5"/>
    <w:rsid w:val="00E12240"/>
    <w:rsid w:val="00E12E5C"/>
    <w:rsid w:val="00E33BE0"/>
    <w:rsid w:val="00E438FA"/>
    <w:rsid w:val="00E43D80"/>
    <w:rsid w:val="00E735E2"/>
    <w:rsid w:val="00E74D15"/>
    <w:rsid w:val="00E81148"/>
    <w:rsid w:val="00E82B5E"/>
    <w:rsid w:val="00E836AE"/>
    <w:rsid w:val="00E8496D"/>
    <w:rsid w:val="00E9036E"/>
    <w:rsid w:val="00EA3955"/>
    <w:rsid w:val="00EA604B"/>
    <w:rsid w:val="00EB0583"/>
    <w:rsid w:val="00EB291F"/>
    <w:rsid w:val="00ED28A1"/>
    <w:rsid w:val="00ED28D1"/>
    <w:rsid w:val="00ED75EB"/>
    <w:rsid w:val="00F32065"/>
    <w:rsid w:val="00F4426B"/>
    <w:rsid w:val="00F44483"/>
    <w:rsid w:val="00F50D44"/>
    <w:rsid w:val="00F570E1"/>
    <w:rsid w:val="00F76C90"/>
    <w:rsid w:val="00F770FA"/>
    <w:rsid w:val="00F80D9A"/>
    <w:rsid w:val="00F8106B"/>
    <w:rsid w:val="00F87309"/>
    <w:rsid w:val="00F94574"/>
    <w:rsid w:val="00FC2987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C401"/>
  <w15:docId w15:val="{EAD9B9AD-3B0A-471D-916B-1987D2BF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noProof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7EF9-B3D6-4A7A-A3E5-94E8CC13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7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</dc:creator>
  <cp:lastModifiedBy>Nives Babić</cp:lastModifiedBy>
  <cp:revision>272</cp:revision>
  <cp:lastPrinted>2025-09-22T06:05:00Z</cp:lastPrinted>
  <dcterms:created xsi:type="dcterms:W3CDTF">2025-09-15T08:09:00Z</dcterms:created>
  <dcterms:modified xsi:type="dcterms:W3CDTF">2025-09-22T07:18:00Z</dcterms:modified>
</cp:coreProperties>
</file>