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25669d96df254fe1"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32141</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OPĆINA STON</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22</w:t>
            </w:r>
          </w:p>
        </w:tc>
      </w:tr>
    </w:tbl>
    <w:p>
      <w:r>
        <w:br/>
      </w:r>
    </w:p>
    <w:p>
      <w:pPr>
        <w:jc w:val="center"/>
        <w:pStyle w:val="Normal"/>
        <w:spacing w:line="240" w:lineRule="auto"/>
      </w:pPr>
      <w:r>
        <w:rPr>
          <w:b/>
          <w:sz w:val="28"/>
          <w:rFonts w:ascii="Times New Roman" w:hAnsi="Times New Roman"/>
        </w:rPr>
        <w:t>BILJEŠKE UZ FINANCIJSKE IZVJEŠTAJE</w:t>
      </w:r>
    </w:p>
    <w:p>
      <w:pPr>
        <w:jc w:val="center"/>
        <w:pStyle w:val="Normal"/>
        <w:spacing w:line="240" w:lineRule="auto"/>
      </w:pPr>
      <w:r>
        <w:rPr>
          <w:b/>
          <w:sz w:val="28"/>
          <w:rFonts w:ascii="Times New Roman" w:hAnsi="Times New Roman"/>
        </w:rPr>
        <w:t>ZA RAZDOBLJE</w:t>
      </w:r>
    </w:p>
    <w:p>
      <w:pPr>
        <w:jc w:val="center"/>
        <w:pStyle w:val="Normal"/>
        <w:spacing w:line="240" w:lineRule="auto"/>
      </w:pPr>
      <w:r>
        <w:rPr>
          <w:b/>
          <w:sz w:val="28"/>
          <w:rFonts w:ascii="Times New Roman" w:hAnsi="Times New Roman"/>
        </w:rPr>
        <w:t>I - IX 2025.</w:t>
      </w:r>
    </w:p>
    <w:p/>
    <w:p>
      <w:pPr>
        <w:jc w:val="center"/>
        <w:pStyle w:val="Normal"/>
        <w:spacing w:line="240" w:lineRule="auto"/>
        <w:keepNext/>
      </w:pPr>
      <w:r>
        <w:rPr>
          <w:b/>
          <w:sz w:val="28"/>
          <w:rFonts w:ascii="Times New Roman" w:hAnsi="Times New Roman"/>
        </w:rPr>
        <w:t>Izvještaj o prihodima i rashodima, primicima i izdacima</w:t>
      </w:r>
    </w:p>
    <w:p>
      <w:pPr>
        <w:jc w:val="center"/>
        <w:pStyle w:val="Normal"/>
        <w:spacing w:line="240" w:lineRule="auto"/>
        <w:keepNext/>
      </w:pPr>
      <w:r>
        <w:rPr>
          <w:sz w:val="28"/>
          <w:rFonts w:ascii="Times New Roman" w:hAnsi="Times New Roman"/>
        </w:rPr>
        <w:t>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1.770.257,10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2.080.989,31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117,6</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1.582.425,91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1.757.254,24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111,0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POSLOVANJA (šifre 6-Z005)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187.831,19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323.735,07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172,4</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3.705,07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279,22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7,5</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144.102,46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186.483,18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129,4</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140.397,39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186.203,96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132,6</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389.738,86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365.000,00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40.000,00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PRIMITAKA OD FINANCIJSKE IMOVINE I ZADUŽIVANJA (šifre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40.000,00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I PRIMITAKA (šifre X678-Y345)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72.172,66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97.531,11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135,1</w:t>
            </w:r>
          </w:p>
        </w:tc>
      </w:tr>
    </w:tbl>
    <w:p>
      <w:pPr>
        <w:spacing w:before="0" w:after="0"/>
      </w:pPr>
    </w:p>
    <w:p>
      <w:pPr>
        <w:jc w:val="both"/>
        <w:pStyle w:val="Normal"/>
        <w:spacing w:line="240" w:lineRule="auto"/>
      </w:pPr>
      <w:r>
        <w:rPr>
          <w:sz w:val="24"/>
          <w:rFonts w:ascii="Times New Roman" w:hAnsi="Times New Roman"/>
        </w:rPr>
        <w:t>Izvještaj o prihodima i rashodima, primicima i izdacima Općine Ston odnosi se na izvještajno razdoblje od 01.01.2025. do 30.09.2025.godine. </w:t>
      </w:r>
    </w:p>
    <w:p>
      <w:r>
        <w:br/>
      </w:r>
    </w:p>
    <w:p>
      <w:pPr>
        <w:jc w:val="center"/>
        <w:pStyle w:val="Normal"/>
        <w:spacing w:line="240" w:lineRule="auto"/>
        <w:keepNext/>
      </w:pPr>
      <w:r>
        <w:rPr>
          <w:sz w:val="28"/>
          <w:rFonts w:ascii="Times New Roman" w:hAnsi="Times New Roman"/>
        </w:rPr>
        <w:t>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1.770.257,10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2.080.989,31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117,6</w:t>
            </w:r>
          </w:p>
        </w:tc>
      </w:tr>
    </w:tbl>
    <w:p>
      <w:pPr>
        <w:spacing w:before="0" w:after="0"/>
      </w:pPr>
    </w:p>
    <w:p>
      <w:pPr>
        <w:jc w:val="both"/>
        <w:pStyle w:val="Normal"/>
        <w:spacing w:line="240" w:lineRule="auto"/>
      </w:pPr>
      <w:r>
        <w:rPr>
          <w:sz w:val="24"/>
          <w:rFonts w:ascii="Times New Roman" w:hAnsi="Times New Roman"/>
        </w:rPr>
        <w:t>Ukupni prihodi poslovanja u izvještajnom razdoblju tekuće godine iznose 2.080.989,31 eura i veći su za 17,6% od ostvarenih prihoda poslovanja u istom izvještajnom razdoblju prethodne godine. </w:t>
      </w:r>
    </w:p>
    <w:p/>
    <w:p>
      <w:pPr>
        <w:jc w:val="center"/>
        <w:pStyle w:val="Normal"/>
        <w:spacing w:line="240" w:lineRule="auto"/>
        <w:keepNext/>
      </w:pPr>
      <w:r>
        <w:rPr>
          <w:sz w:val="28"/>
          <w:rFonts w:ascii="Times New Roman" w:hAnsi="Times New Roman"/>
        </w:rPr>
        <w:t>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Porez na dohodak (šifre 6111 do 6116 - 6117 - 6119)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659.212,99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916.724,53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139,1</w:t>
            </w:r>
          </w:p>
        </w:tc>
      </w:tr>
    </w:tbl>
    <w:p>
      <w:pPr>
        <w:spacing w:before="0" w:after="0"/>
      </w:pPr>
    </w:p>
    <w:p>
      <w:pPr>
        <w:jc w:val="both"/>
        <w:pStyle w:val="Normal"/>
        <w:spacing w:line="240" w:lineRule="auto"/>
      </w:pPr>
      <w:r>
        <w:rPr>
          <w:sz w:val="24"/>
          <w:rFonts w:ascii="Times New Roman" w:hAnsi="Times New Roman"/>
        </w:rPr>
        <w:t>U ovom izvještajnom razdoblju ostvareno je 916.724,53 eura, odnosno 139,1% u odnosu na isto razdoblje prošle godine. Povećanje se odnosi na stavke poreza na dohodak od nesamostalnog rada za 26,1% (povećanje osobnih primanja od 01.01.20225.), poreza na dohodak od nesamostalnih djelatnosti za 57,4%, od imovine i imovinskih prava za 67,6%,poreza na dohodak od kapitala za 41,1%, poreza na dohodak po godišnjoj prijavi za 77,5% i povrata poreza na dohodak po godišnjoj prijavi za 31,7%. Smanjenje se odnosi na stavku poreza na dohodak utvrđen u postupku nadzora za prethodne godine. </w:t>
      </w:r>
    </w:p>
    <w:p/>
    <w:p>
      <w:pPr>
        <w:jc w:val="center"/>
        <w:pStyle w:val="Normal"/>
        <w:spacing w:line="240" w:lineRule="auto"/>
        <w:keepNext/>
      </w:pPr>
      <w:r>
        <w:rPr>
          <w:sz w:val="28"/>
          <w:rFonts w:ascii="Times New Roman" w:hAnsi="Times New Roman"/>
        </w:rPr>
        <w:t>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Porezi na imovinu (šifre 6131 do 6135)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226.895,63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170.085,17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75,0</w:t>
            </w:r>
          </w:p>
        </w:tc>
      </w:tr>
    </w:tbl>
    <w:p>
      <w:pPr>
        <w:spacing w:before="0" w:after="0"/>
      </w:pPr>
    </w:p>
    <w:p>
      <w:pPr>
        <w:jc w:val="both"/>
        <w:pStyle w:val="Normal"/>
        <w:spacing w:line="240" w:lineRule="auto"/>
      </w:pPr>
      <w:r>
        <w:rPr>
          <w:sz w:val="24"/>
          <w:rFonts w:ascii="Times New Roman" w:hAnsi="Times New Roman"/>
        </w:rPr>
        <w:t>Ostvarenje na ovoj stavci je 75,00% u odnosu na isto izvještajno razdoblje prethodne godine. Radi se o manjoj naplati stalnog poreza na nepokretnu imovinu (porez na kuće za odmor, porez na korištenje javnih površina). U ovom razdoblju imamo i ostvarenje vezano za naplatu poreza na nekretnine. Manja je naplata poreza na promet nekretnina. </w:t>
      </w:r>
    </w:p>
    <w:p/>
    <w:p>
      <w:pPr>
        <w:jc w:val="center"/>
        <w:pStyle w:val="Normal"/>
        <w:spacing w:line="240" w:lineRule="auto"/>
        <w:keepNext/>
      </w:pPr>
      <w:r>
        <w:rPr>
          <w:sz w:val="28"/>
          <w:rFonts w:ascii="Times New Roman" w:hAnsi="Times New Roman"/>
        </w:rPr>
        <w:t>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proračunu i izvanproračunskim korisnicima iz drugih proračuna (šifre 6331+6332)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173.262,12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162.714,52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93,9</w:t>
            </w:r>
          </w:p>
        </w:tc>
      </w:tr>
    </w:tbl>
    <w:p>
      <w:pPr>
        <w:spacing w:before="0" w:after="0"/>
      </w:pPr>
    </w:p>
    <w:p>
      <w:pPr>
        <w:jc w:val="both"/>
        <w:pStyle w:val="Normal"/>
        <w:spacing w:line="240" w:lineRule="auto"/>
      </w:pPr>
      <w:r>
        <w:rPr>
          <w:sz w:val="24"/>
          <w:rFonts w:ascii="Times New Roman" w:hAnsi="Times New Roman"/>
        </w:rPr>
        <w:t>U ovom izvještajnom razdoblju ostvareno je 93,9%, u odnosu na prethodno razdoblje. Tekuće pomoći proračunu i izvanproračunskim korisnicima iz drugih proračuna je ostvarenje približno jednako kao prethodne godine. Prihodi se odnose na uplate za fiskalnu održivost dječjih vrtića (8 uplaćenih rata) i refundaciju troškova od Županijskog suda u Dubrovniku za održane lokalne izbore u svibnju i lipnju ove godine. Kapitalnih pomoći u ovom izvještajnom razdoblju je bilo 115.500,00 eura. Iznos od 75.500,00 eura odnosi se na uplatu Dubrovačko-neretvanske županije, vezano za refundaciju plaćenih troškova za Izradu projektno-tehničke dokumentacije za potrebe realizacije projekta ''Centar za rehabilitaciju i hipoterapiju - Pelješac'', kao i za pripremu projekta uspostave istog. Iznos od 40.000,00 eura odnosi se na Projekt uređenja obalnog pojasa unutar centra Stona, uplata Dubrovačko-neretvanske županije. </w:t>
      </w:r>
    </w:p>
    <w:p/>
    <w:p>
      <w:pPr>
        <w:jc w:val="center"/>
        <w:pStyle w:val="Normal"/>
        <w:spacing w:line="240" w:lineRule="auto"/>
        <w:keepNext/>
      </w:pPr>
      <w:r>
        <w:rPr>
          <w:sz w:val="28"/>
          <w:rFonts w:ascii="Times New Roman" w:hAnsi="Times New Roman"/>
        </w:rPr>
        <w:t>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od izvanproračunskih korisnika (šifre 6341+6342)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6.889,64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18.950,00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275,1</w:t>
            </w:r>
          </w:p>
        </w:tc>
      </w:tr>
    </w:tbl>
    <w:p>
      <w:pPr>
        <w:spacing w:before="0" w:after="0"/>
      </w:pPr>
    </w:p>
    <w:p>
      <w:pPr>
        <w:jc w:val="both"/>
        <w:pStyle w:val="Normal"/>
        <w:spacing w:line="240" w:lineRule="auto"/>
      </w:pPr>
      <w:r>
        <w:rPr>
          <w:sz w:val="24"/>
          <w:rFonts w:ascii="Times New Roman" w:hAnsi="Times New Roman"/>
        </w:rPr>
        <w:t>Ostvarenje u ovom izvještajnom razdoblju na ovoj stavci odnosi se na povrat pred-financiranja Općine Ston za odvojeno sakupljanje komunalnog otpada, uplata je od strane Fonda za zaštitu okoliša i energetsku učinkovitost. </w:t>
      </w:r>
    </w:p>
    <w:p/>
    <w:p>
      <w:pPr>
        <w:jc w:val="center"/>
        <w:pStyle w:val="Normal"/>
        <w:spacing w:line="240" w:lineRule="auto"/>
        <w:keepNext/>
      </w:pPr>
      <w:r>
        <w:rPr>
          <w:sz w:val="28"/>
          <w:rFonts w:ascii="Times New Roman" w:hAnsi="Times New Roman"/>
        </w:rPr>
        <w:t>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temeljem prijenosa EU sredstava (šifre 6381+6382)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135.073,71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141.958,96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105,1</w:t>
            </w:r>
          </w:p>
        </w:tc>
      </w:tr>
    </w:tbl>
    <w:p>
      <w:pPr>
        <w:spacing w:before="0" w:after="0"/>
      </w:pPr>
    </w:p>
    <w:p>
      <w:pPr>
        <w:jc w:val="both"/>
        <w:pStyle w:val="Normal"/>
        <w:spacing w:line="240" w:lineRule="auto"/>
      </w:pPr>
      <w:r>
        <w:rPr>
          <w:sz w:val="24"/>
          <w:rFonts w:ascii="Times New Roman" w:hAnsi="Times New Roman"/>
        </w:rPr>
        <w:t>Ostvarenje u iznosu od 141.958,96 eura odnosi se na uplatu Državnog proračuna RH, vezano za prihode koji se odnose na projekt ''Zaželi'' i ''Interreg testeat projekt Italija-Hrvatska'' (uplata agencije AZZRI d.o.o kao vodećeg partnera u projektu). Općina je pred-financirala troškove plaća i materijalne troškove. Kapitalnih pomoći temeljem prijenosa EU sredstava u ovom izvještajnom razdoblju nije bilo. </w:t>
      </w:r>
    </w:p>
    <w:p/>
    <w:p>
      <w:pPr>
        <w:jc w:val="center"/>
        <w:pStyle w:val="Normal"/>
        <w:spacing w:line="240" w:lineRule="auto"/>
        <w:keepNext/>
      </w:pPr>
      <w:r>
        <w:rPr>
          <w:sz w:val="28"/>
          <w:rFonts w:ascii="Times New Roman" w:hAnsi="Times New Roman"/>
        </w:rPr>
        <w:t>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nefinancijske imovine (šifre 6421 do 6429)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188.454,50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234.660,90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124,5</w:t>
            </w:r>
          </w:p>
        </w:tc>
      </w:tr>
    </w:tbl>
    <w:p>
      <w:pPr>
        <w:spacing w:before="0" w:after="0"/>
      </w:pPr>
    </w:p>
    <w:p>
      <w:pPr>
        <w:jc w:val="both"/>
        <w:pStyle w:val="Normal"/>
        <w:spacing w:line="240" w:lineRule="auto"/>
      </w:pPr>
      <w:r>
        <w:rPr>
          <w:sz w:val="24"/>
          <w:rFonts w:ascii="Times New Roman" w:hAnsi="Times New Roman"/>
        </w:rPr>
        <w:t>U ovom izvještajnom razdoblju, ostvarenje stavke iznosi 234.660,90 eura, što predstavlja 24,5% više nego u istom izvještajnom razdoblju prethodne godine. Naknade za koncesije imaju približno jednako ostvarenje kao u istom izvještajnom razdoblju prethodne godine. Prihodi od zakupa i iznajmljivanja imovine se odnose na stambene i poslovne prostore, ostvarenje je veće za 42,00% u odnosu na prethodnu godinu, zbog sudske nagodbe kojom je naplaćen dio potraživanja za najam poslovnog prostora, partner Poljotehna d.o.o. Naknade koje se odnose na korištenje prostora elektrana, prihodi su temeljem Ugovora o pravu služnosti - dio čestice u vlasništvu Općine na kojoj je izgrađena jedna od vjetroelektrana, te naknade za javno tlo i naknada za zadržavanje bespravno izgrađenih objekata u prostoru, ostvarene su za 27,1% više. </w:t>
      </w:r>
    </w:p>
    <w:p/>
    <w:p>
      <w:pPr>
        <w:jc w:val="center"/>
        <w:pStyle w:val="Normal"/>
        <w:spacing w:line="240" w:lineRule="auto"/>
        <w:keepNext/>
      </w:pPr>
      <w:r>
        <w:rPr>
          <w:sz w:val="28"/>
          <w:rFonts w:ascii="Times New Roman" w:hAnsi="Times New Roman"/>
        </w:rPr>
        <w:t>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 posebnim propisima (šifre 6521 do 6528)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137.977,42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131.632,84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95,4</w:t>
            </w:r>
          </w:p>
        </w:tc>
      </w:tr>
    </w:tbl>
    <w:p>
      <w:pPr>
        <w:spacing w:before="0" w:after="0"/>
      </w:pPr>
    </w:p>
    <w:p>
      <w:pPr>
        <w:jc w:val="both"/>
        <w:pStyle w:val="Normal"/>
        <w:spacing w:line="240" w:lineRule="auto"/>
      </w:pPr>
      <w:r>
        <w:rPr>
          <w:sz w:val="24"/>
          <w:rFonts w:ascii="Times New Roman" w:hAnsi="Times New Roman"/>
        </w:rPr>
        <w:t>Ostvarenje od 95,4% u odnosu na isto izvještajno razdoblje prethodne godine odnosi se na prihode od vodnog gospodarstva (vodni doprinos) i prihode koji se odnose na sufinanciranje vode od strane Ministarstva regionalnog razvoja i materijalne troškove Hrvatskih voda (troškovi naplate naknade za uređenje voda). </w:t>
      </w:r>
    </w:p>
    <w:p/>
    <w:p>
      <w:pPr>
        <w:jc w:val="center"/>
        <w:pStyle w:val="Normal"/>
        <w:spacing w:line="240" w:lineRule="auto"/>
        <w:keepNext/>
      </w:pPr>
      <w:r>
        <w:rPr>
          <w:sz w:val="28"/>
          <w:rFonts w:ascii="Times New Roman" w:hAnsi="Times New Roman"/>
        </w:rPr>
        <w:t>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Komunalni doprinosi i naknade (šifre 6531 do 6533)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72.342,09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198.411,19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274,3</w:t>
            </w:r>
          </w:p>
        </w:tc>
      </w:tr>
    </w:tbl>
    <w:p>
      <w:pPr>
        <w:spacing w:before="0" w:after="0"/>
      </w:pPr>
    </w:p>
    <w:p>
      <w:pPr>
        <w:jc w:val="both"/>
        <w:pStyle w:val="Normal"/>
        <w:spacing w:line="240" w:lineRule="auto"/>
      </w:pPr>
      <w:r>
        <w:rPr>
          <w:sz w:val="24"/>
          <w:rFonts w:ascii="Times New Roman" w:hAnsi="Times New Roman"/>
        </w:rPr>
        <w:t>Ostvarenje u ovom izvještajnom razdoblju iznosi 198.411,19 eura. Iznos od 140.651,99 eura odnosi se na naplatu komunalnog doprinosa. Bilo je dostavljenih pravomoćnih građevinskih dozvola i rješenja o izvedenom stanju, najveći dio prihoda za komunalni doprinos odnosi se na uplatu za izgradnju trgovačkog centra Plodine. Stavka komunalne naknade ima ostvarenje u iznosu od 57.759,20 eura, nešto je manja u odnosu na isto izvještajno razdoblje prethodne godine. </w:t>
      </w:r>
    </w:p>
    <w:p/>
    <w:p>
      <w:pPr>
        <w:jc w:val="center"/>
        <w:pStyle w:val="Normal"/>
        <w:spacing w:line="240" w:lineRule="auto"/>
        <w:keepNext/>
      </w:pPr>
      <w:r>
        <w:rPr>
          <w:sz w:val="28"/>
          <w:rFonts w:ascii="Times New Roman" w:hAnsi="Times New Roman"/>
        </w:rPr>
        <w:t>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Donacije od pravnih i fizičkih osoba izvan općeg proračuna te povrat donacija i kapitalnih pomoći po protestiranim jamstvima (šifre 6631 do 6634)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66.001,33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pPr>
        <w:jc w:val="both"/>
        <w:pStyle w:val="Normal"/>
        <w:spacing w:line="240" w:lineRule="auto"/>
      </w:pPr>
      <w:r>
        <w:rPr>
          <w:sz w:val="24"/>
          <w:rFonts w:ascii="Times New Roman" w:hAnsi="Times New Roman"/>
        </w:rPr>
        <w:t>Nema ostvarenja u ovom izvještajnom razdoblju. </w:t>
      </w:r>
    </w:p>
    <w:p/>
    <w:p>
      <w:pPr>
        <w:jc w:val="center"/>
        <w:pStyle w:val="Normal"/>
        <w:spacing w:line="240" w:lineRule="auto"/>
        <w:keepNext/>
      </w:pPr>
      <w:r>
        <w:rPr>
          <w:sz w:val="28"/>
          <w:rFonts w:ascii="Times New Roman" w:hAnsi="Times New Roman"/>
        </w:rPr>
        <w:t>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681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Kazne i upravne mjere (šifre 6811 do 6819)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2.175,00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575,00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26,4</w:t>
            </w:r>
          </w:p>
        </w:tc>
      </w:tr>
    </w:tbl>
    <w:p>
      <w:pPr>
        <w:spacing w:before="0" w:after="0"/>
      </w:pPr>
    </w:p>
    <w:p>
      <w:pPr>
        <w:jc w:val="both"/>
        <w:pStyle w:val="Normal"/>
        <w:spacing w:line="240" w:lineRule="auto"/>
      </w:pPr>
      <w:r>
        <w:rPr>
          <w:sz w:val="24"/>
          <w:rFonts w:ascii="Times New Roman" w:hAnsi="Times New Roman"/>
        </w:rPr>
        <w:t>Ostvarenje ove stavke je manje za 73,6% u odnosu na prošlu godinu. Manje je naplaćenih kazni po rješenju komunalnog redara. </w:t>
      </w:r>
    </w:p>
    <w:p/>
    <w:p>
      <w:pPr>
        <w:jc w:val="center"/>
        <w:pStyle w:val="Normal"/>
        <w:spacing w:line="240" w:lineRule="auto"/>
        <w:keepNext/>
      </w:pPr>
      <w:r>
        <w:rPr>
          <w:sz w:val="28"/>
          <w:rFonts w:ascii="Times New Roman" w:hAnsi="Times New Roman"/>
        </w:rPr>
        <w:t>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1.582.425,91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1.757.254,24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111,0</w:t>
            </w:r>
          </w:p>
        </w:tc>
      </w:tr>
    </w:tbl>
    <w:p>
      <w:pPr>
        <w:spacing w:before="0" w:after="0"/>
      </w:pPr>
    </w:p>
    <w:p>
      <w:pPr>
        <w:jc w:val="both"/>
        <w:pStyle w:val="Normal"/>
        <w:spacing w:line="240" w:lineRule="auto"/>
      </w:pPr>
      <w:r>
        <w:rPr>
          <w:sz w:val="24"/>
          <w:rFonts w:ascii="Times New Roman" w:hAnsi="Times New Roman"/>
        </w:rPr>
        <w:t>Ukupni rashodi poslovanja u ovom izvještajnom razdoblju iznose 1.757.254,24 eura i veći su za 11,00% u odnosu na isto razdoblje prethodne godine. </w:t>
      </w:r>
    </w:p>
    <w:p/>
    <w:p>
      <w:pPr>
        <w:jc w:val="center"/>
        <w:pStyle w:val="Normal"/>
        <w:spacing w:line="240" w:lineRule="auto"/>
        <w:keepNext/>
      </w:pPr>
      <w:r>
        <w:rPr>
          <w:sz w:val="28"/>
          <w:rFonts w:ascii="Times New Roman" w:hAnsi="Times New Roman"/>
        </w:rPr>
        <w:t>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Plaće (bruto) (šifre 3111 do 3114)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164.098,59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211.457,03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128,9</w:t>
            </w:r>
          </w:p>
        </w:tc>
      </w:tr>
    </w:tbl>
    <w:p>
      <w:pPr>
        <w:spacing w:before="0" w:after="0"/>
      </w:pPr>
    </w:p>
    <w:p>
      <w:pPr>
        <w:jc w:val="both"/>
        <w:pStyle w:val="Normal"/>
        <w:spacing w:line="240" w:lineRule="auto"/>
      </w:pPr>
      <w:r>
        <w:rPr>
          <w:sz w:val="24"/>
          <w:rFonts w:ascii="Times New Roman" w:hAnsi="Times New Roman"/>
        </w:rPr>
        <w:t>Plaće su veće za 28,90% u odnosu na prošlu godinu, zbog promjene osnovice za obračun plaće u 02/2025 i 09/2025. Na projektu ''Zaželi'' (veza šifra 313) zaposlene su 4 djelatnice kojih u dijelu izvještajnog razdoblja prethodne godine nije bilo. Znatno manje je bilo troškova za prekovremeni rad, jer nije bilo potrebe za istim. </w:t>
      </w:r>
    </w:p>
    <w:p/>
    <w:p>
      <w:pPr>
        <w:jc w:val="center"/>
        <w:pStyle w:val="Normal"/>
        <w:spacing w:line="240" w:lineRule="auto"/>
        <w:keepNext/>
      </w:pPr>
      <w:r>
        <w:rPr>
          <w:sz w:val="28"/>
          <w:rFonts w:ascii="Times New Roman" w:hAnsi="Times New Roman"/>
        </w:rPr>
        <w:t>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troškova zaposlenima (šifre 3211 do 3214)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16.061,81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20.346,41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126,7</w:t>
            </w:r>
          </w:p>
        </w:tc>
      </w:tr>
    </w:tbl>
    <w:p>
      <w:pPr>
        <w:spacing w:before="0" w:after="0"/>
      </w:pPr>
    </w:p>
    <w:p>
      <w:pPr>
        <w:jc w:val="both"/>
        <w:pStyle w:val="Normal"/>
        <w:spacing w:line="240" w:lineRule="auto"/>
      </w:pPr>
      <w:r>
        <w:rPr>
          <w:sz w:val="24"/>
          <w:rFonts w:ascii="Times New Roman" w:hAnsi="Times New Roman"/>
        </w:rPr>
        <w:t>Ostvarenje je 126,7% u odnosu na isto razdoblje prethodne godine. Naknada za prijevoz na posao i s posla je veća za 27,6% iz razloga zapošljavanja novih djelatnika. Znatnije povećanje rashoda odnosi se na stručno usavršavanje zaposlenika, iz razloga potrebe za edukacijama zbog poreznih i računovodstvenih izmjena, odnosno prelaska u sustav riznice. </w:t>
      </w:r>
    </w:p>
    <w:p/>
    <w:p>
      <w:pPr>
        <w:jc w:val="center"/>
        <w:pStyle w:val="Normal"/>
        <w:spacing w:line="240" w:lineRule="auto"/>
        <w:keepNext/>
      </w:pPr>
      <w:r>
        <w:rPr>
          <w:sz w:val="28"/>
          <w:rFonts w:ascii="Times New Roman" w:hAnsi="Times New Roman"/>
        </w:rPr>
        <w:t>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materijal i energiju (šifre 3221 do 3227)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112.188,88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90.780,80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80,9</w:t>
            </w:r>
          </w:p>
        </w:tc>
      </w:tr>
    </w:tbl>
    <w:p>
      <w:pPr>
        <w:spacing w:before="0" w:after="0"/>
      </w:pPr>
    </w:p>
    <w:p>
      <w:pPr>
        <w:jc w:val="both"/>
        <w:pStyle w:val="Normal"/>
        <w:spacing w:line="240" w:lineRule="auto"/>
      </w:pPr>
      <w:r>
        <w:rPr>
          <w:sz w:val="24"/>
          <w:rFonts w:ascii="Times New Roman" w:hAnsi="Times New Roman"/>
        </w:rPr>
        <w:t>U ovom izvještajnom razdoblju, rashodi za materijal i energiju manji su za 19,1% u odnosu na prošlu godinu, isto izvještajno razdoblje. Smanjeni su rashodi za materijal i sirovine, kao i materijal i dijelovi za tekuće i investicijsko održavanje. Stavka službene, radne i zaštitne odjeće i obuće bilježi rashode približno jednake kao prethodne godine. Povećani su rashodi za sitni inventar i autogume, kao i troškovi vezani za električnu energiju. </w:t>
      </w:r>
    </w:p>
    <w:p/>
    <w:p>
      <w:pPr>
        <w:jc w:val="center"/>
        <w:pStyle w:val="Normal"/>
        <w:spacing w:line="240" w:lineRule="auto"/>
        <w:keepNext/>
      </w:pPr>
      <w:r>
        <w:rPr>
          <w:sz w:val="28"/>
          <w:rFonts w:ascii="Times New Roman" w:hAnsi="Times New Roman"/>
        </w:rPr>
        <w:t>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usluge (šifre 3231 do 3239)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483.229,56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484.964,26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100,4</w:t>
            </w:r>
          </w:p>
        </w:tc>
      </w:tr>
    </w:tbl>
    <w:p>
      <w:pPr>
        <w:spacing w:before="0" w:after="0"/>
      </w:pPr>
    </w:p>
    <w:p>
      <w:pPr>
        <w:jc w:val="both"/>
        <w:pStyle w:val="Normal"/>
        <w:spacing w:line="240" w:lineRule="auto"/>
      </w:pPr>
      <w:r>
        <w:rPr>
          <w:sz w:val="24"/>
          <w:rFonts w:ascii="Times New Roman" w:hAnsi="Times New Roman"/>
        </w:rPr>
        <w:t>Ostvarenje ''Rashoda za usluge'' iznosi 484.964,26 eura, što iznosi 0,4% više u odnosu na isto izvještajno razdoblje prethodne godine. Manji su rashodi za usluge telefona, interneta, pošte i prijevoza za 49,2%. Također, smanjeni su i rashodi za usluge promidžbe i informiranja, usluge tekućeg i investicijskog održavanja, intelektualne i osobne usluge. Rashodi za zakupnine i najamnine, koji su manji za 42,7% odnose se na najam aparata za vodu u općinskim prostorijama, najam prostora za održavanje lokalnih izbora kao i najam wc kabina za Dane malostonske kamenice. Povećani su rashodi za zdravstvene i veterinarske usluge (sklopljen novi ugovor), kao i rashodi za komunalne usluge (opskrba vodom, iznošenje i odvoz smeća, trošak deponije). </w:t>
      </w:r>
    </w:p>
    <w:p/>
    <w:p>
      <w:pPr>
        <w:jc w:val="center"/>
        <w:pStyle w:val="Normal"/>
        <w:spacing w:line="240" w:lineRule="auto"/>
        <w:keepNext/>
      </w:pPr>
      <w:r>
        <w:rPr>
          <w:sz w:val="28"/>
          <w:rFonts w:ascii="Times New Roman" w:hAnsi="Times New Roman"/>
        </w:rPr>
        <w:t>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rashodi poslovanja (šifre 3291 do 3299)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165.204,96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53.178,58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32,2</w:t>
            </w:r>
          </w:p>
        </w:tc>
      </w:tr>
    </w:tbl>
    <w:p>
      <w:pPr>
        <w:spacing w:before="0" w:after="0"/>
      </w:pPr>
    </w:p>
    <w:p>
      <w:pPr>
        <w:jc w:val="both"/>
        <w:pStyle w:val="Normal"/>
        <w:spacing w:line="240" w:lineRule="auto"/>
      </w:pPr>
      <w:r>
        <w:rPr>
          <w:sz w:val="24"/>
          <w:rFonts w:ascii="Times New Roman" w:hAnsi="Times New Roman"/>
        </w:rPr>
        <w:t>- ostvarenje je 32,2% u odnosu na isto izvještajno razdoblje prethodne godine. Povećani su rashodi za troškove reprezentacije (proslava manifestacije Dani malostonske kamenice koja je trajala 5 dana i festa sv.Vlaha). Rashoda za troškove sudskih postupaka nije bilo u ovom izvještajnom razdoblju, u prethodnom smo imali isplate naknade po presudi Upravnog suda u Splitu, a vezano za deposedirano zemljište Prapratno. Naknade za rad predstavničkih i izvršnih tijela, povjerenstava ima ostvarenje u iznosu od 25.176,85 eura zbog održanih lokalnih izbora (2 kruga), shodno tome isplaćene su naknade za rad i obračunati doprinosi za isto. Članarine se odnose na LAG, a premije osiguranja na službene automobile i cisternu za prijevoz vode. Stavka pristojbe i naknade bilježi ostvarenje u iznosu od 425,42 eura, odnosi se na javnobilježničke pristojbe i troškove očevida/izlaska suda na lice mjesta - Općinskom sudu u Dubrovniku. </w:t>
      </w:r>
    </w:p>
    <w:p/>
    <w:p>
      <w:pPr>
        <w:jc w:val="center"/>
        <w:pStyle w:val="Normal"/>
        <w:spacing w:line="240" w:lineRule="auto"/>
        <w:keepNext/>
      </w:pPr>
      <w:r>
        <w:rPr>
          <w:sz w:val="28"/>
          <w:rFonts w:ascii="Times New Roman" w:hAnsi="Times New Roman"/>
        </w:rPr>
        <w:t>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Kamate za primljene kredite i zajmove (šifre 3421 do 3428)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13.939,40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7.267,20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52,1</w:t>
            </w:r>
          </w:p>
        </w:tc>
      </w:tr>
    </w:tbl>
    <w:p>
      <w:pPr>
        <w:spacing w:before="0" w:after="0"/>
      </w:pPr>
    </w:p>
    <w:p>
      <w:pPr>
        <w:jc w:val="both"/>
        <w:pStyle w:val="Normal"/>
        <w:spacing w:line="240" w:lineRule="auto"/>
      </w:pPr>
      <w:r>
        <w:rPr>
          <w:sz w:val="24"/>
          <w:rFonts w:ascii="Times New Roman" w:hAnsi="Times New Roman"/>
        </w:rPr>
        <w:t>Ostvarenje je 52,10 %, radi se o kamatama na prekoračenje po Ž-R. Kamate za primljene zajmove od trgovačkih društava u javnom sektoru i od drugih razina vlasti ima ostvarenje u odnosu na isto izvještajno razdoblje prethodne godine, a vezano je za primljene zajmove Komunalnog društva Ston i Općine Trpanj, u svrhu zatvaranja kredita. Zajam je vraćen u ovom izvještajnom razdoblju. </w:t>
      </w:r>
    </w:p>
    <w:p/>
    <w:p>
      <w:pPr>
        <w:jc w:val="center"/>
        <w:pStyle w:val="Normal"/>
        <w:spacing w:line="240" w:lineRule="auto"/>
        <w:keepNext/>
      </w:pPr>
      <w:r>
        <w:rPr>
          <w:sz w:val="28"/>
          <w:rFonts w:ascii="Times New Roman" w:hAnsi="Times New Roman"/>
        </w:rPr>
        <w:t>Bilješka 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351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Subvencije kreditnim i ostalim financijskim institucijama i trgovačkim društvima u javnom sektoru (šifre 3511+3512)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24.992,06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44.371,26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177,5</w:t>
            </w:r>
          </w:p>
        </w:tc>
      </w:tr>
    </w:tbl>
    <w:p>
      <w:pPr>
        <w:spacing w:before="0" w:after="0"/>
      </w:pPr>
    </w:p>
    <w:p>
      <w:pPr>
        <w:jc w:val="both"/>
        <w:pStyle w:val="Normal"/>
        <w:spacing w:line="240" w:lineRule="auto"/>
      </w:pPr>
      <w:r>
        <w:rPr>
          <w:sz w:val="24"/>
          <w:rFonts w:ascii="Times New Roman" w:hAnsi="Times New Roman"/>
        </w:rPr>
        <w:t>Rashodi koji su povećani za 77,5% u odnosu na isto izvještajno razdoblje prethodne godine odnose se na subvenciju trgovačkom društvu J.P.Libertas Dubrovnik, sukladno primljenim zahtjevima, kao i subvencije Razvojnoj agenciji Stona RAST d.o.o. , za potrebe redovnog poslovanja (plaće i materijalni troškovi). </w:t>
      </w:r>
    </w:p>
    <w:p/>
    <w:p>
      <w:pPr>
        <w:jc w:val="center"/>
        <w:pStyle w:val="Normal"/>
        <w:spacing w:line="240" w:lineRule="auto"/>
        <w:keepNext/>
      </w:pPr>
      <w:r>
        <w:rPr>
          <w:sz w:val="28"/>
          <w:rFonts w:ascii="Times New Roman" w:hAnsi="Times New Roman"/>
        </w:rPr>
        <w:t>Bilješka 21.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3661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proračunskim korisnicima drugih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266,7</w:t>
            </w:r>
          </w:p>
        </w:tc>
      </w:tr>
    </w:tbl>
    <w:p>
      <w:pPr>
        <w:spacing w:before="0" w:after="0"/>
      </w:pPr>
    </w:p>
    <w:p>
      <w:pPr>
        <w:jc w:val="both"/>
        <w:pStyle w:val="Normal"/>
        <w:spacing w:line="240" w:lineRule="auto"/>
      </w:pPr>
      <w:r>
        <w:rPr>
          <w:sz w:val="24"/>
          <w:rFonts w:ascii="Times New Roman" w:hAnsi="Times New Roman"/>
        </w:rPr>
        <w:t>Povećanje se odnosi na tekuću pomoć Umjetničkoj školi Luke Sorkočevića za međunarodno natjecanje (500,00 eura) i tekuću pomoć Osnovnoj školi Ston za putovanje školskog futstal tima (300,00 eura). </w:t>
      </w:r>
    </w:p>
    <w:p/>
    <w:p>
      <w:pPr>
        <w:jc w:val="center"/>
        <w:pStyle w:val="Normal"/>
        <w:spacing w:line="240" w:lineRule="auto"/>
        <w:keepNext/>
      </w:pPr>
      <w:r>
        <w:rPr>
          <w:sz w:val="28"/>
          <w:rFonts w:ascii="Times New Roman" w:hAnsi="Times New Roman"/>
        </w:rPr>
        <w:t>Bilješka 22.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3662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pomoći proračunskim korisnicima drugih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1.619,05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pPr>
        <w:jc w:val="both"/>
        <w:pStyle w:val="Normal"/>
        <w:spacing w:line="240" w:lineRule="auto"/>
      </w:pPr>
      <w:r>
        <w:rPr>
          <w:sz w:val="24"/>
          <w:rFonts w:ascii="Times New Roman" w:hAnsi="Times New Roman"/>
        </w:rPr>
        <w:t>Nema ostvarenja u ovom izvještajnom razdoblju. </w:t>
      </w:r>
    </w:p>
    <w:p/>
    <w:p>
      <w:pPr>
        <w:jc w:val="center"/>
        <w:pStyle w:val="Normal"/>
        <w:spacing w:line="240" w:lineRule="auto"/>
        <w:keepNext/>
      </w:pPr>
      <w:r>
        <w:rPr>
          <w:sz w:val="28"/>
          <w:rFonts w:ascii="Times New Roman" w:hAnsi="Times New Roman"/>
        </w:rPr>
        <w:t>Bilješka 23.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Prijenosi proračunskim korisnicima iz nadležnog proračuna za financiranje redovne djelatnosti (šifre 3672 do 3674)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259.417,00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370.098,59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142,7</w:t>
            </w:r>
          </w:p>
        </w:tc>
      </w:tr>
    </w:tbl>
    <w:p>
      <w:pPr>
        <w:spacing w:before="0" w:after="0"/>
      </w:pPr>
    </w:p>
    <w:p>
      <w:pPr>
        <w:jc w:val="both"/>
        <w:pStyle w:val="Normal"/>
        <w:spacing w:line="240" w:lineRule="auto"/>
      </w:pPr>
      <w:r>
        <w:rPr>
          <w:sz w:val="24"/>
          <w:rFonts w:ascii="Times New Roman" w:hAnsi="Times New Roman"/>
        </w:rPr>
        <w:t>Ostvarenje u ovom izvještajnom razdoblju iznosi 370.098,59 eura, što je povećanje od 42,7% u odnosu na ostvareno u izvještajnom razdoblju prethodne godine. Povećanje se odnosi na rashode za zaposlene (plaće i materijalna prava zaposlenih). Manji su rashodi za nabavku nefinancijske imovine. </w:t>
      </w:r>
    </w:p>
    <w:p/>
    <w:p>
      <w:pPr>
        <w:jc w:val="center"/>
        <w:pStyle w:val="Normal"/>
        <w:spacing w:line="240" w:lineRule="auto"/>
        <w:keepNext/>
      </w:pPr>
      <w:r>
        <w:rPr>
          <w:sz w:val="28"/>
          <w:rFonts w:ascii="Times New Roman" w:hAnsi="Times New Roman"/>
        </w:rPr>
        <w:t>Bilješka 24.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temeljem prijenosa EU sredstava (šifre 3681+3682)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68.763,59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Style w:val="Normal"/>
        <w:spacing w:line="240" w:lineRule="auto"/>
      </w:pPr>
      <w:r>
        <w:rPr>
          <w:sz w:val="24"/>
          <w:rFonts w:ascii="Times New Roman" w:hAnsi="Times New Roman"/>
        </w:rPr>
        <w:t>Ostvarenje u iznosu od 68.763,59 eura predstavlja refundaciju troškova za plaće i materijalne troškove partnerima u projektu ''Zaželi'' općinama Trpanj i Janjina. </w:t>
      </w:r>
    </w:p>
    <w:p/>
    <w:p>
      <w:pPr>
        <w:jc w:val="center"/>
        <w:pStyle w:val="Normal"/>
        <w:spacing w:line="240" w:lineRule="auto"/>
        <w:keepNext/>
      </w:pPr>
      <w:r>
        <w:rPr>
          <w:sz w:val="28"/>
          <w:rFonts w:ascii="Times New Roman" w:hAnsi="Times New Roman"/>
        </w:rPr>
        <w:t>Bilješka 25.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Ostale naknade građanima i kućanstvima iz proračuna (šifre 3721 do 3723)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39.388,46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44.015,35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111,7</w:t>
            </w:r>
          </w:p>
        </w:tc>
      </w:tr>
    </w:tbl>
    <w:p>
      <w:pPr>
        <w:spacing w:before="0" w:after="0"/>
      </w:pPr>
    </w:p>
    <w:p>
      <w:pPr>
        <w:jc w:val="both"/>
        <w:pStyle w:val="Normal"/>
        <w:spacing w:line="240" w:lineRule="auto"/>
      </w:pPr>
      <w:r>
        <w:rPr>
          <w:sz w:val="24"/>
          <w:rFonts w:ascii="Times New Roman" w:hAnsi="Times New Roman"/>
        </w:rPr>
        <w:t>Povećanje se odnosi na više isplaćene naknade za sufinanciranje prijevoza učenicima i studentima (dostavljeni zahtjevi i autobusne karte), stipendije, jednokratne novčane pomoći, kao i naknade za novorođenu djecu. </w:t>
      </w:r>
    </w:p>
    <w:p/>
    <w:p>
      <w:pPr>
        <w:jc w:val="center"/>
        <w:pStyle w:val="Normal"/>
        <w:spacing w:line="240" w:lineRule="auto"/>
        <w:keepNext/>
      </w:pPr>
      <w:r>
        <w:rPr>
          <w:sz w:val="28"/>
          <w:rFonts w:ascii="Times New Roman" w:hAnsi="Times New Roman"/>
        </w:rPr>
        <w:t>Bilješka 26.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donacije (šifre 3811 do 3813)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229.980,77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309.809,77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134,7</w:t>
            </w:r>
          </w:p>
        </w:tc>
      </w:tr>
    </w:tbl>
    <w:p>
      <w:pPr>
        <w:spacing w:before="0" w:after="0"/>
      </w:pPr>
    </w:p>
    <w:p>
      <w:pPr>
        <w:jc w:val="both"/>
        <w:pStyle w:val="Normal"/>
        <w:spacing w:line="240" w:lineRule="auto"/>
      </w:pPr>
      <w:r>
        <w:rPr>
          <w:sz w:val="24"/>
          <w:rFonts w:ascii="Times New Roman" w:hAnsi="Times New Roman"/>
        </w:rPr>
        <w:t>Ostvarenje u iznosu od 309.809,77 eura, koje predstavlja povećanje od 34,70% odnosi se na isplaćene naknade za udruge u sportu, vatrogastvu, kulturi, vjerskim zajednicama, humanitarnim organizacijama i udrugama umirovljenika, shodno predanim zahtjevima. </w:t>
      </w:r>
    </w:p>
    <w:p/>
    <w:p>
      <w:pPr>
        <w:jc w:val="center"/>
        <w:pStyle w:val="Normal"/>
        <w:spacing w:line="240" w:lineRule="auto"/>
        <w:keepNext/>
      </w:pPr>
      <w:r>
        <w:rPr>
          <w:sz w:val="28"/>
          <w:rFonts w:ascii="Times New Roman" w:hAnsi="Times New Roman"/>
        </w:rPr>
        <w:t>Bilješka 27.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donacije (šifre 3821 do 3824)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5.694,44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pPr>
        <w:jc w:val="both"/>
        <w:pStyle w:val="Normal"/>
        <w:spacing w:line="240" w:lineRule="auto"/>
      </w:pPr>
      <w:r>
        <w:rPr>
          <w:sz w:val="24"/>
          <w:rFonts w:ascii="Times New Roman" w:hAnsi="Times New Roman"/>
        </w:rPr>
        <w:t>Nema ostvarenja u ovom izvještajnom razdoblju. </w:t>
      </w:r>
    </w:p>
    <w:p/>
    <w:p>
      <w:pPr>
        <w:jc w:val="center"/>
        <w:pStyle w:val="Normal"/>
        <w:spacing w:line="240" w:lineRule="auto"/>
        <w:keepNext/>
      </w:pPr>
      <w:r>
        <w:rPr>
          <w:sz w:val="28"/>
          <w:rFonts w:ascii="Times New Roman" w:hAnsi="Times New Roman"/>
        </w:rPr>
        <w:t>Bilješka 28.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pomoći (šifre 3861 do 3865)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21.789,69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pPr>
        <w:jc w:val="both"/>
        <w:pStyle w:val="Normal"/>
        <w:spacing w:line="240" w:lineRule="auto"/>
      </w:pPr>
      <w:r>
        <w:rPr>
          <w:sz w:val="24"/>
          <w:rFonts w:ascii="Times New Roman" w:hAnsi="Times New Roman"/>
        </w:rPr>
        <w:t>Nema ostvarenja u izvještajnom razdoblju tekuće godine. </w:t>
      </w:r>
    </w:p>
    <w:p/>
    <w:p>
      <w:pPr>
        <w:jc w:val="center"/>
        <w:pStyle w:val="Normal"/>
        <w:spacing w:line="240" w:lineRule="auto"/>
        <w:keepNext/>
      </w:pPr>
      <w:r>
        <w:rPr>
          <w:sz w:val="28"/>
          <w:rFonts w:ascii="Times New Roman" w:hAnsi="Times New Roman"/>
        </w:rPr>
        <w:t>Bilješka 29.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3.705,07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279,22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7,5</w:t>
            </w:r>
          </w:p>
        </w:tc>
      </w:tr>
    </w:tbl>
    <w:p>
      <w:pPr>
        <w:spacing w:before="0" w:after="0"/>
      </w:pPr>
    </w:p>
    <w:p>
      <w:pPr>
        <w:jc w:val="both"/>
        <w:pStyle w:val="Normal"/>
        <w:spacing w:line="240" w:lineRule="auto"/>
      </w:pPr>
      <w:r>
        <w:rPr>
          <w:sz w:val="24"/>
          <w:rFonts w:ascii="Times New Roman" w:hAnsi="Times New Roman"/>
        </w:rPr>
        <w:t>Ukupno ostvareni prihodi od prodaje nefinancijske imovine iznose 279,22 eura i manji su za 92,50% u odnosu na ostvareno u izvještajnom razdoblju prethodne godine. </w:t>
      </w:r>
    </w:p>
    <w:p/>
    <w:p>
      <w:pPr>
        <w:jc w:val="center"/>
        <w:pStyle w:val="Normal"/>
        <w:spacing w:line="240" w:lineRule="auto"/>
        <w:keepNext/>
      </w:pPr>
      <w:r>
        <w:rPr>
          <w:sz w:val="28"/>
          <w:rFonts w:ascii="Times New Roman" w:hAnsi="Times New Roman"/>
        </w:rPr>
        <w:t>Bilješka 30.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građevinskih objekata (šifre 7211 do 7214)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563,07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279,22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49,6</w:t>
            </w:r>
          </w:p>
        </w:tc>
      </w:tr>
    </w:tbl>
    <w:p>
      <w:pPr>
        <w:spacing w:before="0" w:after="0"/>
      </w:pPr>
    </w:p>
    <w:p>
      <w:pPr>
        <w:jc w:val="both"/>
        <w:pStyle w:val="Normal"/>
        <w:spacing w:line="240" w:lineRule="auto"/>
      </w:pPr>
      <w:r>
        <w:rPr>
          <w:sz w:val="24"/>
          <w:rFonts w:ascii="Times New Roman" w:hAnsi="Times New Roman"/>
        </w:rPr>
        <w:t>Razlog smanjenja je sve manje prihoda od prodaje (otplate stanova) jer je sve više stanova otplaćeno (Domouprava Dubrovnik - stanovi bivše Općine Dubrovnik). </w:t>
      </w:r>
    </w:p>
    <w:p/>
    <w:p>
      <w:pPr>
        <w:jc w:val="center"/>
        <w:pStyle w:val="Normal"/>
        <w:spacing w:line="240" w:lineRule="auto"/>
        <w:keepNext/>
      </w:pPr>
      <w:r>
        <w:rPr>
          <w:sz w:val="28"/>
          <w:rFonts w:ascii="Times New Roman" w:hAnsi="Times New Roman"/>
        </w:rPr>
        <w:t>Bilješka 31.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144.102,46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186.483,18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129,4</w:t>
            </w:r>
          </w:p>
        </w:tc>
      </w:tr>
    </w:tbl>
    <w:p>
      <w:pPr>
        <w:spacing w:before="0" w:after="0"/>
      </w:pPr>
    </w:p>
    <w:p>
      <w:pPr>
        <w:jc w:val="both"/>
        <w:pStyle w:val="Normal"/>
        <w:spacing w:line="240" w:lineRule="auto"/>
      </w:pPr>
      <w:r>
        <w:rPr>
          <w:sz w:val="24"/>
          <w:rFonts w:ascii="Times New Roman" w:hAnsi="Times New Roman"/>
        </w:rPr>
        <w:t>Rashodi za nabavu nefinancijske imovine ukupno su ostvareni u iznosu od 186.483,18 eura, što je za 29,40% više u odnosu na ostvareno u izvještajnom razdoblju prethodne godine. </w:t>
      </w:r>
    </w:p>
    <w:p/>
    <w:p>
      <w:pPr>
        <w:jc w:val="center"/>
        <w:pStyle w:val="Normal"/>
        <w:spacing w:line="240" w:lineRule="auto"/>
        <w:keepNext/>
      </w:pPr>
      <w:r>
        <w:rPr>
          <w:sz w:val="28"/>
          <w:rFonts w:ascii="Times New Roman" w:hAnsi="Times New Roman"/>
        </w:rPr>
        <w:t>Bilješka 32.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Nematerijalna imovina (šifre 4121 do 4126)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1.648,45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Style w:val="Normal"/>
        <w:spacing w:line="240" w:lineRule="auto"/>
      </w:pPr>
      <w:r>
        <w:rPr>
          <w:sz w:val="24"/>
          <w:rFonts w:ascii="Times New Roman" w:hAnsi="Times New Roman"/>
        </w:rPr>
        <w:t>Ostvareni iznos od 1.648,45 eura odnosi se na priključak struje na rivi u Zamaslini. </w:t>
      </w:r>
    </w:p>
    <w:p/>
    <w:p>
      <w:pPr>
        <w:jc w:val="center"/>
        <w:pStyle w:val="Normal"/>
        <w:spacing w:line="240" w:lineRule="auto"/>
        <w:keepNext/>
      </w:pPr>
      <w:r>
        <w:rPr>
          <w:sz w:val="28"/>
          <w:rFonts w:ascii="Times New Roman" w:hAnsi="Times New Roman"/>
        </w:rPr>
        <w:t>Bilješka 33.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Građevinski objekti (šifre 4211 do 4214)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99.770,29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64.231,19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64,4</w:t>
            </w:r>
          </w:p>
        </w:tc>
      </w:tr>
    </w:tbl>
    <w:p>
      <w:pPr>
        <w:spacing w:before="0" w:after="0"/>
      </w:pPr>
    </w:p>
    <w:p>
      <w:pPr>
        <w:jc w:val="both"/>
        <w:pStyle w:val="Normal"/>
        <w:spacing w:line="240" w:lineRule="auto"/>
      </w:pPr>
      <w:r>
        <w:rPr>
          <w:sz w:val="24"/>
          <w:rFonts w:ascii="Times New Roman" w:hAnsi="Times New Roman"/>
        </w:rPr>
        <w:t>Ukupno ostvarenje u iznosu od 64.231,19 eura, što predstavlja 35,6% ostvarenog od izvještajnog razdoblja prethodne godine, odnosi se na sljedeće: izrada projektne dokumentacije za dječje igralište Ston, radovi na montaži cjevovoda Broce-Kobaš, proširenje mreže javne rasvjete, priključak vode za zgradu Orsan u Malom Stonu i groblje u Zamaslini te radovi na izradi potpornog zida Napoleonov put. </w:t>
      </w:r>
    </w:p>
    <w:p/>
    <w:p>
      <w:pPr>
        <w:jc w:val="center"/>
        <w:pStyle w:val="Normal"/>
        <w:spacing w:line="240" w:lineRule="auto"/>
        <w:keepNext/>
      </w:pPr>
      <w:r>
        <w:rPr>
          <w:sz w:val="28"/>
          <w:rFonts w:ascii="Times New Roman" w:hAnsi="Times New Roman"/>
        </w:rPr>
        <w:t>Bilješka 34.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Postrojenja i oprema (šifre 4221 do 4228)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20.436,67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8.867,07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43,4</w:t>
            </w:r>
          </w:p>
        </w:tc>
      </w:tr>
    </w:tbl>
    <w:p>
      <w:pPr>
        <w:spacing w:before="0" w:after="0"/>
      </w:pPr>
    </w:p>
    <w:p>
      <w:pPr>
        <w:jc w:val="both"/>
        <w:pStyle w:val="Normal"/>
        <w:spacing w:line="240" w:lineRule="auto"/>
      </w:pPr>
      <w:r>
        <w:rPr>
          <w:sz w:val="24"/>
          <w:rFonts w:ascii="Times New Roman" w:hAnsi="Times New Roman"/>
        </w:rPr>
        <w:t>Manje je rashoda za uredsku opremu i namještaj (JUO Općine Ston). Što se tiče sportske i glazbene opreme, ostvarenje je 1.728,79 eura, što nije bilo u izvještajnom razdoblju prethodne godine. Odnosi se na kupnju futstal golova za igralište, mreža za iste te par lopti za igrališta u Ponikvama i Stonu. Znatno je manje rashoda za uređaje, strojeve i opremu za ostale namjene (nabavljene kugle za parking u Žuljani i umjetne izbočine). </w:t>
      </w:r>
    </w:p>
    <w:p/>
    <w:p>
      <w:pPr>
        <w:jc w:val="center"/>
        <w:pStyle w:val="Normal"/>
        <w:spacing w:line="240" w:lineRule="auto"/>
        <w:keepNext/>
      </w:pPr>
      <w:r>
        <w:rPr>
          <w:sz w:val="28"/>
          <w:rFonts w:ascii="Times New Roman" w:hAnsi="Times New Roman"/>
        </w:rPr>
        <w:t>Bilješka 35.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Knjige, umjetnička djela i ostale izložbene vrijednosti (šifre 4241 do 4244)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1.495,50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pPr>
        <w:jc w:val="both"/>
        <w:pStyle w:val="Normal"/>
        <w:spacing w:line="240" w:lineRule="auto"/>
      </w:pPr>
      <w:r>
        <w:rPr>
          <w:sz w:val="24"/>
          <w:rFonts w:ascii="Times New Roman" w:hAnsi="Times New Roman"/>
        </w:rPr>
        <w:t>Nema ostvarenja u izvještajnom razdoblju tekuće godine. </w:t>
      </w:r>
    </w:p>
    <w:p/>
    <w:p>
      <w:pPr>
        <w:jc w:val="center"/>
        <w:pStyle w:val="Normal"/>
        <w:spacing w:line="240" w:lineRule="auto"/>
        <w:keepNext/>
      </w:pPr>
      <w:r>
        <w:rPr>
          <w:sz w:val="28"/>
          <w:rFonts w:ascii="Times New Roman" w:hAnsi="Times New Roman"/>
        </w:rPr>
        <w:t>Bilješka 36.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Nematerijalna proizvedena imovina (šifre 4261 do 4264)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22.400,00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106.975,00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477,6</w:t>
            </w:r>
          </w:p>
        </w:tc>
      </w:tr>
    </w:tbl>
    <w:p>
      <w:pPr>
        <w:spacing w:before="0" w:after="0"/>
      </w:pPr>
    </w:p>
    <w:p>
      <w:pPr>
        <w:jc w:val="both"/>
        <w:pStyle w:val="Normal"/>
        <w:spacing w:line="240" w:lineRule="auto"/>
      </w:pPr>
      <w:r>
        <w:rPr>
          <w:sz w:val="24"/>
          <w:rFonts w:ascii="Times New Roman" w:hAnsi="Times New Roman"/>
        </w:rPr>
        <w:t>U ovom izvještajnom razdoblju ostvarenje je 106.975,00 eura. Radi se o izradi projektno-tehničke dokumentacije za cestu do Gospe od Ružarija, izradu idejne projektne dokumentacije za reciklažno dvorište u Česvinici, zaprimljeni su i računi za izmjene i dopune prostornog plana uređenja Općine Ston, za transformaciju prostornog plana, kao i urbanistički plan uređenja Stonskog polja. Za Centar za rehabilitaciju u Putnikoviću, troškovi se odnose na izradu projektno-tehničke dokumentacije, savjetodavne projektantske usluge, reviziju glavnog i izvedbenog projekta te izradu procjene otpornosti na klimatske promjene. </w:t>
      </w:r>
    </w:p>
    <w:p/>
    <w:p>
      <w:pPr>
        <w:jc w:val="center"/>
        <w:pStyle w:val="Normal"/>
        <w:spacing w:line="240" w:lineRule="auto"/>
        <w:keepNext/>
      </w:pPr>
      <w:r>
        <w:rPr>
          <w:sz w:val="28"/>
          <w:rFonts w:ascii="Times New Roman" w:hAnsi="Times New Roman"/>
        </w:rPr>
        <w:t>Bilješka 37.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451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Dodatna ulaganja na građevinskim objektima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4.761,47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Style w:val="Normal"/>
        <w:spacing w:line="240" w:lineRule="auto"/>
      </w:pPr>
      <w:r>
        <w:rPr>
          <w:sz w:val="24"/>
          <w:rFonts w:ascii="Times New Roman" w:hAnsi="Times New Roman"/>
        </w:rPr>
        <w:t>Dodatna ulaganja odnose se na izmjenu sanitarne opreme u Osnovnoj školi Hodilje te troškovi temeljem ugovora s partnerom Stamnes grupa (ugovor o najmu poslovnog prostora, ulaganja u prostor). </w:t>
      </w:r>
    </w:p>
    <w:p/>
    <w:p>
      <w:pPr>
        <w:jc w:val="center"/>
        <w:pStyle w:val="Normal"/>
        <w:spacing w:line="240" w:lineRule="auto"/>
        <w:keepNext/>
      </w:pPr>
      <w:r>
        <w:rPr>
          <w:sz w:val="28"/>
          <w:rFonts w:ascii="Times New Roman" w:hAnsi="Times New Roman"/>
        </w:rPr>
        <w:t>Bilješka 38.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389.738,86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pPr>
        <w:jc w:val="both"/>
        <w:pStyle w:val="Normal"/>
        <w:spacing w:line="240" w:lineRule="auto"/>
      </w:pPr>
      <w:r>
        <w:rPr>
          <w:sz w:val="24"/>
          <w:rFonts w:ascii="Times New Roman" w:hAnsi="Times New Roman"/>
        </w:rPr>
        <w:t>Ukupni primici od financijske imovine i zaduživanja u izvještajnom razdoblju tekuće godine iznose 0,00 eura. </w:t>
      </w:r>
    </w:p>
    <w:p/>
    <w:p>
      <w:pPr>
        <w:jc w:val="center"/>
        <w:pStyle w:val="Normal"/>
        <w:spacing w:line="240" w:lineRule="auto"/>
        <w:keepNext/>
      </w:pPr>
      <w:r>
        <w:rPr>
          <w:sz w:val="28"/>
          <w:rFonts w:ascii="Times New Roman" w:hAnsi="Times New Roman"/>
        </w:rPr>
        <w:t>Bilješka 39.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(povrati) glavnice zajmova danih neprofitnim organizacijama, građanima i kućanstvima (šifre 8121+8122)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25.000,00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pPr>
        <w:jc w:val="both"/>
        <w:pStyle w:val="Normal"/>
        <w:spacing w:line="240" w:lineRule="auto"/>
      </w:pPr>
      <w:r>
        <w:rPr>
          <w:sz w:val="24"/>
          <w:rFonts w:ascii="Times New Roman" w:hAnsi="Times New Roman"/>
        </w:rPr>
        <w:t>Nema ostvarenja u izvještajnom razdoblju tekuće godine. </w:t>
      </w:r>
    </w:p>
    <w:p/>
    <w:p>
      <w:pPr>
        <w:jc w:val="center"/>
        <w:pStyle w:val="Normal"/>
        <w:spacing w:line="240" w:lineRule="auto"/>
        <w:keepNext/>
      </w:pPr>
      <w:r>
        <w:rPr>
          <w:sz w:val="28"/>
          <w:rFonts w:ascii="Times New Roman" w:hAnsi="Times New Roman"/>
        </w:rPr>
        <w:t>Bilješka 40.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(povrati) glavnice zajmova danih trgovačkim društvima u javnom sektoru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364.738,86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pPr>
        <w:jc w:val="both"/>
        <w:pStyle w:val="Normal"/>
        <w:spacing w:line="240" w:lineRule="auto"/>
      </w:pPr>
      <w:r>
        <w:rPr>
          <w:sz w:val="24"/>
          <w:rFonts w:ascii="Times New Roman" w:hAnsi="Times New Roman"/>
        </w:rPr>
        <w:t>Ne bilježi se ostvareno u izvještajnom razdoblju tekuće godine. </w:t>
      </w:r>
    </w:p>
    <w:p/>
    <w:p>
      <w:pPr>
        <w:jc w:val="center"/>
        <w:pStyle w:val="Normal"/>
        <w:spacing w:line="240" w:lineRule="auto"/>
        <w:keepNext/>
      </w:pPr>
      <w:r>
        <w:rPr>
          <w:sz w:val="28"/>
          <w:rFonts w:ascii="Times New Roman" w:hAnsi="Times New Roman"/>
        </w:rPr>
        <w:t>Bilješka 41.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365.000,00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40.000,00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11,0</w:t>
            </w:r>
          </w:p>
        </w:tc>
      </w:tr>
    </w:tbl>
    <w:p>
      <w:pPr>
        <w:spacing w:before="0" w:after="0"/>
      </w:pPr>
    </w:p>
    <w:p>
      <w:pPr>
        <w:jc w:val="both"/>
        <w:pStyle w:val="Normal"/>
        <w:spacing w:line="240" w:lineRule="auto"/>
      </w:pPr>
      <w:r>
        <w:rPr>
          <w:sz w:val="24"/>
          <w:rFonts w:ascii="Times New Roman" w:hAnsi="Times New Roman"/>
        </w:rPr>
        <w:t>Ukupni izdaci za financijsku imovinu i otplate zajmova iznose 40.000,00 eura. </w:t>
      </w:r>
    </w:p>
    <w:p/>
    <w:p>
      <w:pPr>
        <w:jc w:val="center"/>
        <w:pStyle w:val="Normal"/>
        <w:spacing w:line="240" w:lineRule="auto"/>
        <w:keepNext/>
      </w:pPr>
      <w:r>
        <w:rPr>
          <w:sz w:val="28"/>
          <w:rFonts w:ascii="Times New Roman" w:hAnsi="Times New Roman"/>
        </w:rPr>
        <w:t>Bilješka 42.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dane zajmove neprofitnim organizacijama, građanima i kućanstvima (šifre 5121+5122)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40.000,00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Style w:val="Normal"/>
        <w:spacing w:line="240" w:lineRule="auto"/>
      </w:pPr>
      <w:r>
        <w:rPr>
          <w:sz w:val="24"/>
          <w:rFonts w:ascii="Times New Roman" w:hAnsi="Times New Roman"/>
        </w:rPr>
        <w:t>Ostvarenje u iznosu od 40.000,00 eura odnose se na pozajmicu po sklopljenom ugovoru s udrugom Stonski školjkari, u svrhu realizacije projekta manifestacije Dani malostonske kamenice. </w:t>
      </w:r>
    </w:p>
    <w:p/>
    <w:p>
      <w:pPr>
        <w:jc w:val="center"/>
        <w:pStyle w:val="Normal"/>
        <w:spacing w:line="240" w:lineRule="auto"/>
        <w:keepNext/>
      </w:pPr>
      <w:r>
        <w:rPr>
          <w:sz w:val="28"/>
          <w:rFonts w:ascii="Times New Roman" w:hAnsi="Times New Roman"/>
        </w:rPr>
        <w:t>Bilješka 43.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UKUPNI PRIHODI I PRIMICI (šifre X067+8)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X678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2.163.701,03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2.081.268,53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96,2</w:t>
            </w:r>
          </w:p>
        </w:tc>
      </w:tr>
    </w:tbl>
    <w:p>
      <w:pPr>
        <w:spacing w:before="0" w:after="0"/>
      </w:pPr>
    </w:p>
    <w:p>
      <w:pPr>
        <w:jc w:val="both"/>
        <w:pStyle w:val="Normal"/>
        <w:spacing w:line="240" w:lineRule="auto"/>
      </w:pPr>
      <w:r>
        <w:rPr>
          <w:sz w:val="24"/>
          <w:rFonts w:ascii="Times New Roman" w:hAnsi="Times New Roman"/>
        </w:rPr>
        <w:t>Općina je u izvještajnom razdoblju ostvarila ukupne prihode i primitke u iznosu od 2.081.268,53 eura, što je za 3,8% manje u odnosu na kraj istog izvještajnog razdoblja prethodne godine. </w:t>
      </w:r>
    </w:p>
    <w:p/>
    <w:p>
      <w:pPr>
        <w:jc w:val="center"/>
        <w:pStyle w:val="Normal"/>
        <w:spacing w:line="240" w:lineRule="auto"/>
        <w:keepNext/>
      </w:pPr>
      <w:r>
        <w:rPr>
          <w:sz w:val="28"/>
          <w:rFonts w:ascii="Times New Roman" w:hAnsi="Times New Roman"/>
        </w:rPr>
        <w:t>Bilješka 44.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UKUPNI RASHODI I IZDACI (šifre Y034+5)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Y345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2.091.528,37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1.983.737,42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94,8</w:t>
            </w:r>
          </w:p>
        </w:tc>
      </w:tr>
    </w:tbl>
    <w:p>
      <w:pPr>
        <w:spacing w:before="0" w:after="0"/>
      </w:pPr>
    </w:p>
    <w:p>
      <w:pPr>
        <w:jc w:val="both"/>
        <w:pStyle w:val="Normal"/>
        <w:spacing w:line="240" w:lineRule="auto"/>
      </w:pPr>
      <w:r>
        <w:rPr>
          <w:sz w:val="24"/>
          <w:rFonts w:ascii="Times New Roman" w:hAnsi="Times New Roman"/>
        </w:rPr>
        <w:t>Općina je u izvještajnom razdoblju ostvarila ukupne rashode i izdatke u iznosu od 1.983.737,42 eura, što je za 5,2% manje u odnosu na kraj istog izvještajnog razdoblja prethodne godine. </w:t>
      </w:r>
    </w:p>
    <w:p/>
    <w:p>
      <w:pPr>
        <w:jc w:val="center"/>
        <w:pStyle w:val="Normal"/>
        <w:spacing w:line="240" w:lineRule="auto"/>
        <w:keepNext/>
      </w:pPr>
      <w:r>
        <w:rPr>
          <w:sz w:val="28"/>
          <w:rFonts w:ascii="Times New Roman" w:hAnsi="Times New Roman"/>
        </w:rPr>
        <w:t>Bilješka 45.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VIŠAK PRIHODA I PRIMITAKA (šifre X678-Y345)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X005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72.172,66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97.531,11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135,1</w:t>
            </w:r>
          </w:p>
        </w:tc>
      </w:tr>
    </w:tbl>
    <w:p>
      <w:pPr>
        <w:spacing w:before="0" w:after="0"/>
      </w:pPr>
    </w:p>
    <w:p>
      <w:pPr>
        <w:jc w:val="both"/>
        <w:pStyle w:val="Normal"/>
        <w:spacing w:line="240" w:lineRule="auto"/>
      </w:pPr>
      <w:r>
        <w:rPr>
          <w:sz w:val="24"/>
          <w:rFonts w:ascii="Times New Roman" w:hAnsi="Times New Roman"/>
        </w:rPr>
        <w:t>U ovom izvještajnom razdoblju, Općina Ston bilježi višak prihoda i primitaka u iznosu od 97.531,11 eura. </w:t>
      </w:r>
    </w:p>
    <w:p/>
    <w:p>
      <w:pPr>
        <w:jc w:val="center"/>
        <w:pStyle w:val="Normal"/>
        <w:spacing w:line="240" w:lineRule="auto"/>
        <w:keepNext/>
      </w:pPr>
      <w:r>
        <w:rPr>
          <w:sz w:val="28"/>
          <w:rFonts w:ascii="Times New Roman" w:hAnsi="Times New Roman"/>
        </w:rPr>
        <w:t>Bilješka 46.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Višak prihoda i primitaka raspoloživ u sljedećem razdoblju (šifre X005 + '9221-9222' - Y005 - '9222-9221')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X006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23.093,67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92.337,67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399,8</w:t>
            </w:r>
          </w:p>
        </w:tc>
      </w:tr>
    </w:tbl>
    <w:p>
      <w:pPr>
        <w:spacing w:before="0" w:after="0"/>
      </w:pPr>
    </w:p>
    <w:p>
      <w:pPr>
        <w:jc w:val="both"/>
        <w:pStyle w:val="Normal"/>
        <w:spacing w:line="240" w:lineRule="auto"/>
      </w:pPr>
      <w:r>
        <w:rPr>
          <w:sz w:val="24"/>
          <w:rFonts w:ascii="Times New Roman" w:hAnsi="Times New Roman"/>
        </w:rPr>
        <w:t>Budući je na šifri 9222-9221 Manjak prihoda i primitaka - preneseni iznos 5.193,44 eura, na kraju izvještajnog razdoblja Općina ostvaruje višak prihoda i primitaka raspoloživ u sljedećem razdoblju u iznosu od 92.337,67 eura. </w:t>
      </w:r>
    </w:p>
    <w:p/>
    <w:p>
      <w:pPr>
        <w:jc w:val="center"/>
        <w:pStyle w:val="Normal"/>
        <w:spacing w:line="240" w:lineRule="auto"/>
        <w:keepNext/>
      </w:pPr>
      <w:r>
        <w:rPr>
          <w:b/>
          <w:sz w:val="28"/>
          <w:rFonts w:ascii="Times New Roman" w:hAnsi="Times New Roman"/>
        </w:rPr>
        <w:t>Izvještaj o obvezama</w:t>
      </w:r>
    </w:p>
    <w:p>
      <w:pPr>
        <w:jc w:val="center"/>
        <w:pStyle w:val="Normal"/>
        <w:spacing w:line="240" w:lineRule="auto"/>
        <w:keepNext/>
      </w:pPr>
      <w:r>
        <w:rPr>
          <w:sz w:val="28"/>
          <w:rFonts w:ascii="Times New Roman" w:hAnsi="Times New Roman"/>
        </w:rPr>
        <w:t>Bilješka 47.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obveza 1. siječnja (=stanju obveza iz Izvještaja o obvezama na 31. prosinca prethodne godine)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336.493,68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Style w:val="Normal"/>
        <w:spacing w:line="240" w:lineRule="auto"/>
      </w:pPr>
      <w:r>
        <w:rPr>
          <w:sz w:val="24"/>
          <w:rFonts w:ascii="Times New Roman" w:hAnsi="Times New Roman"/>
        </w:rPr>
        <w:t>Stanje obveza na početku izvještajnog razdoblja, odnosno 01.01.2025. iznosi 336.493,68 eura. </w:t>
      </w:r>
    </w:p>
    <w:p/>
    <w:p>
      <w:pPr>
        <w:jc w:val="center"/>
        <w:pStyle w:val="Normal"/>
        <w:spacing w:line="240" w:lineRule="auto"/>
        <w:keepNext/>
      </w:pPr>
      <w:r>
        <w:rPr>
          <w:sz w:val="28"/>
          <w:rFonts w:ascii="Times New Roman" w:hAnsi="Times New Roman"/>
        </w:rPr>
        <w:t>Bilješka 48.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Povećanje obveza u izvještajnom razdoblju (šifre V003+N23+N24 + 'N dio 25,26'+N27)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1.933.844,20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Style w:val="Normal"/>
        <w:spacing w:line="240" w:lineRule="auto"/>
      </w:pPr>
      <w:r>
        <w:rPr>
          <w:sz w:val="24"/>
          <w:rFonts w:ascii="Times New Roman" w:hAnsi="Times New Roman"/>
        </w:rPr>
        <w:t>Povećanje obveza u izvještajnom razdoblju iznosi 1.933.844,20 eura. </w:t>
      </w:r>
    </w:p>
    <w:p/>
    <w:p>
      <w:pPr>
        <w:jc w:val="center"/>
        <w:pStyle w:val="Normal"/>
        <w:spacing w:line="240" w:lineRule="auto"/>
        <w:keepNext/>
      </w:pPr>
      <w:r>
        <w:rPr>
          <w:sz w:val="28"/>
          <w:rFonts w:ascii="Times New Roman" w:hAnsi="Times New Roman"/>
        </w:rPr>
        <w:t>Bilješka 49.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Podmirene obveze u izvještajnom razdoblju (šifre V005+P23+P24 + 'P dio 25,26'+P27)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2.000.187,10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Style w:val="Normal"/>
        <w:spacing w:line="240" w:lineRule="auto"/>
      </w:pPr>
      <w:r>
        <w:rPr>
          <w:sz w:val="24"/>
          <w:rFonts w:ascii="Times New Roman" w:hAnsi="Times New Roman"/>
        </w:rPr>
        <w:t>U izvještajnom razdoblju podmirene su obveze u iznosu od 2.000.187,10 eura. </w:t>
      </w:r>
    </w:p>
    <w:p/>
    <w:p>
      <w:pPr>
        <w:jc w:val="center"/>
        <w:pStyle w:val="Normal"/>
        <w:spacing w:line="240" w:lineRule="auto"/>
        <w:keepNext/>
      </w:pPr>
      <w:r>
        <w:rPr>
          <w:sz w:val="28"/>
          <w:rFonts w:ascii="Times New Roman" w:hAnsi="Times New Roman"/>
        </w:rPr>
        <w:t>Bilješka 50.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obveza na kraju izvještajnog razdoblja (šifre V001+V002-V004) i (šifre V007+V009)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270.150,78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Style w:val="Normal"/>
        <w:spacing w:line="240" w:lineRule="auto"/>
      </w:pPr>
      <w:r>
        <w:rPr>
          <w:sz w:val="24"/>
          <w:rFonts w:ascii="Times New Roman" w:hAnsi="Times New Roman"/>
        </w:rPr>
        <w:t>Nakon podmirenih obveza u iznosu od 2.000.187,10 eura, stanje obveza na dan 30.09.2025. iznosi 270.150,78 eura, od čega se 24.585,88 eura odnosi na dospjele, a 245.564,90 eura na nedospjele obveze. </w:t>
      </w:r>
    </w:p>
    <w:p/>
    <w:p>
      <w:pPr>
        <w:jc w:val="center"/>
        <w:pStyle w:val="Normal"/>
        <w:spacing w:line="240" w:lineRule="auto"/>
        <w:keepNext/>
      </w:pPr>
      <w:r>
        <w:rPr>
          <w:sz w:val="28"/>
          <w:rFonts w:ascii="Times New Roman" w:hAnsi="Times New Roman"/>
        </w:rPr>
        <w:t>Bilješka 51.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24.585,88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Style w:val="Normal"/>
        <w:spacing w:line="240" w:lineRule="auto"/>
      </w:pPr>
      <w:r>
        <w:rPr>
          <w:sz w:val="24"/>
          <w:rFonts w:ascii="Times New Roman" w:hAnsi="Times New Roman"/>
        </w:rPr>
        <w:t>Ukupne nedospjele obveze iznose 24.585,88 eura. Iznos od 17,13 eura odnosi se na više uplaćene nespomenute prihode iz ranijih razdoblja.  Preostali iznos dospjelih obveza u iznosu od 24.568,75 eura odnosi se na pristigli račun partnera Platanus d.o.o. (radovi na izradi potpornog zida Napoleonov put - Metohija). Račun nije plaćen iz razloga što započeti radovi nisu dovršeni. </w:t>
      </w:r>
    </w:p>
    <w:p/>
    <w:p>
      <w:pPr>
        <w:jc w:val="center"/>
        <w:pStyle w:val="Normal"/>
        <w:spacing w:line="240" w:lineRule="auto"/>
        <w:keepNext/>
      </w:pPr>
      <w:r>
        <w:rPr>
          <w:sz w:val="28"/>
          <w:rFonts w:ascii="Times New Roman" w:hAnsi="Times New Roman"/>
        </w:rPr>
        <w:t>Bilješka 52.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rashode poslovanja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ND23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50.761,31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Style w:val="Normal"/>
        <w:spacing w:line="240" w:lineRule="auto"/>
      </w:pPr>
      <w:r>
        <w:rPr>
          <w:sz w:val="24"/>
          <w:rFonts w:ascii="Times New Roman" w:hAnsi="Times New Roman"/>
        </w:rPr>
        <w:t>Obveze za rashode poslovanja odnose se na obveze za zaposlene rujan 2025., materijalne rashode, rashode za usluge i ostale tekuće obveze. </w:t>
      </w:r>
    </w:p>
    <w:p/>
    <w:p>
      <w:pPr>
        <w:jc w:val="center"/>
        <w:pStyle w:val="Normal"/>
        <w:spacing w:line="240" w:lineRule="auto"/>
        <w:keepNext/>
      </w:pPr>
      <w:r>
        <w:rPr>
          <w:sz w:val="28"/>
          <w:rFonts w:ascii="Times New Roman" w:hAnsi="Times New Roman"/>
        </w:rPr>
        <w:t>Bilješka 53.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nabavu nefinancijske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ND24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10.493,24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Style w:val="Normal"/>
        <w:spacing w:line="240" w:lineRule="auto"/>
      </w:pPr>
      <w:r>
        <w:rPr>
          <w:sz w:val="24"/>
          <w:rFonts w:ascii="Times New Roman" w:hAnsi="Times New Roman"/>
        </w:rPr>
        <w:t>Obveze za nabavu nefinancijske imovine u iznosu od 10.493,24 eura odnose se na: poslovne objekte (6.514,25 eura), ostale građevinske objekte - proširenje mreže javne rasvjete (2.186,50 eura) te na dodatna ulaganja na građevinskim objektima (1.792,49 eura). </w:t>
      </w:r>
    </w:p>
    <w:p/>
    <w:p>
      <w:pPr>
        <w:jc w:val="center"/>
        <w:pStyle w:val="Normal"/>
        <w:spacing w:line="240" w:lineRule="auto"/>
        <w:keepNext/>
      </w:pPr>
      <w:r>
        <w:rPr>
          <w:sz w:val="28"/>
          <w:rFonts w:ascii="Times New Roman" w:hAnsi="Times New Roman"/>
        </w:rPr>
        <w:t>Bilješka 54.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25,26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financijsku imovinu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ND dio 25,26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172.109,84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Style w:val="Normal"/>
        <w:spacing w:line="240" w:lineRule="auto"/>
      </w:pPr>
      <w:r>
        <w:rPr>
          <w:sz w:val="24"/>
          <w:rFonts w:ascii="Times New Roman" w:hAnsi="Times New Roman"/>
        </w:rPr>
        <w:t>Najveći dio nedospjelih obveza odnosi se na obveze za financijsku imovinu, iznos od 172.109,84 eura. Radi se o obvezi za kredit (prekoračenje po Ž-R). </w:t>
      </w:r>
    </w:p>
    <w:p/>
    <w:p>
      <w:pPr>
        <w:jc w:val="center"/>
        <w:pStyle w:val="Normal"/>
        <w:spacing w:line="240" w:lineRule="auto"/>
        <w:keepNext/>
      </w:pPr>
      <w:r>
        <w:rPr>
          <w:sz w:val="28"/>
          <w:rFonts w:ascii="Times New Roman" w:hAnsi="Times New Roman"/>
        </w:rPr>
        <w:t>Bilješka 55.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predujmove, depozite, jamčevne pologe i tuđe prihode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ND27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12.200,51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Style w:val="Normal"/>
        <w:spacing w:line="240" w:lineRule="auto"/>
      </w:pPr>
      <w:r>
        <w:rPr>
          <w:sz w:val="24"/>
          <w:rFonts w:ascii="Times New Roman" w:hAnsi="Times New Roman"/>
        </w:rPr>
        <w:t>Iznos od 12.200,51 odnosi se na obvezu za jamčevne pologe, kao i na obveze za naplaćenu naknadu za uređenje voda. </w:t>
      </w:r>
    </w:p>
    <w:p/>
  </w:body>
</w:document>
</file>

<file path=word/styles.xml><?xml version="1.0" encoding="utf-8"?>
<w:styles xmlns:w="http://schemas.openxmlformats.org/wordprocessingml/2006/main">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e71bba45c5b64ded" /></Relationships>
</file>